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063B" w14:textId="687E9237" w:rsidR="00930FBB" w:rsidRPr="008E0C96" w:rsidRDefault="003556AC" w:rsidP="0009765D">
      <w:pPr>
        <w:keepNext/>
        <w:keepLines/>
        <w:spacing w:line="240" w:lineRule="auto"/>
        <w:jc w:val="center"/>
        <w:outlineLvl w:val="0"/>
        <w:rPr>
          <w:rFonts w:eastAsia="MS Gothic" w:cs="Times New Roman"/>
          <w:b/>
          <w:bCs/>
          <w:caps/>
          <w:color w:val="006600"/>
          <w:sz w:val="36"/>
          <w:szCs w:val="36"/>
          <w:lang w:val="x-none" w:eastAsia="x-none"/>
        </w:rPr>
      </w:pPr>
      <w:r>
        <w:rPr>
          <w:rFonts w:eastAsia="MS Gothic" w:cs="Times New Roman"/>
          <w:b/>
          <w:bCs/>
          <w:caps/>
          <w:color w:val="006600"/>
          <w:sz w:val="36"/>
          <w:szCs w:val="36"/>
          <w:lang w:val="en-AU" w:eastAsia="x-none"/>
        </w:rPr>
        <w:t>RULE CHANGE</w:t>
      </w:r>
      <w:r w:rsidR="007B03C3" w:rsidRPr="008E0C96">
        <w:rPr>
          <w:rFonts w:eastAsia="MS Gothic" w:cs="Times New Roman"/>
          <w:b/>
          <w:bCs/>
          <w:caps/>
          <w:color w:val="006600"/>
          <w:sz w:val="36"/>
          <w:szCs w:val="36"/>
          <w:lang w:val="en-AU" w:eastAsia="x-none"/>
        </w:rPr>
        <w:t xml:space="preserve"> </w:t>
      </w:r>
      <w:r w:rsidR="00930FBB" w:rsidRPr="008E0C96">
        <w:rPr>
          <w:rFonts w:eastAsia="MS Gothic" w:cs="Times New Roman"/>
          <w:b/>
          <w:bCs/>
          <w:caps/>
          <w:color w:val="006600"/>
          <w:sz w:val="36"/>
          <w:szCs w:val="36"/>
          <w:lang w:val="x-none" w:eastAsia="x-none"/>
        </w:rPr>
        <w:t>Policy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410"/>
        <w:gridCol w:w="2552"/>
        <w:gridCol w:w="2551"/>
        <w:gridCol w:w="2410"/>
      </w:tblGrid>
      <w:tr w:rsidR="00A133DB" w:rsidRPr="00A133DB" w14:paraId="445C29C9" w14:textId="77777777" w:rsidTr="00A133DB">
        <w:tc>
          <w:tcPr>
            <w:tcW w:w="2410" w:type="dxa"/>
            <w:shd w:val="clear" w:color="auto" w:fill="E2EFD9" w:themeFill="accent6" w:themeFillTint="33"/>
          </w:tcPr>
          <w:p w14:paraId="02C8E7BE" w14:textId="77777777" w:rsidR="00930FBB" w:rsidRPr="008E0C96" w:rsidRDefault="00930FBB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E0C96">
              <w:rPr>
                <w:rFonts w:eastAsia="Times New Roman" w:cs="Arial"/>
                <w:sz w:val="20"/>
                <w:szCs w:val="20"/>
                <w:lang w:val="en-US"/>
              </w:rPr>
              <w:t>Policy number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06F237C" w14:textId="07996658" w:rsidR="00930FBB" w:rsidRPr="008E0C96" w:rsidRDefault="00150B93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ES-018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2B1467B" w14:textId="77777777" w:rsidR="00930FBB" w:rsidRPr="008E0C96" w:rsidRDefault="00930FBB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E0C96">
              <w:rPr>
                <w:rFonts w:eastAsia="Times New Roman" w:cs="Arial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5E9C5F6" w14:textId="77777777" w:rsidR="00930FBB" w:rsidRPr="008E0C96" w:rsidRDefault="00A133DB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E0C96">
              <w:rPr>
                <w:rFonts w:eastAsia="Times New Roman" w:cs="Arial"/>
                <w:sz w:val="20"/>
                <w:szCs w:val="20"/>
                <w:lang w:val="en-US"/>
              </w:rPr>
              <w:t>V1</w:t>
            </w:r>
          </w:p>
        </w:tc>
      </w:tr>
      <w:tr w:rsidR="00A133DB" w:rsidRPr="00A133DB" w14:paraId="22A99E0F" w14:textId="77777777" w:rsidTr="00A133DB">
        <w:tc>
          <w:tcPr>
            <w:tcW w:w="2410" w:type="dxa"/>
            <w:shd w:val="clear" w:color="auto" w:fill="E2EFD9" w:themeFill="accent6" w:themeFillTint="33"/>
          </w:tcPr>
          <w:p w14:paraId="1EBBDF6F" w14:textId="77777777" w:rsidR="00930FBB" w:rsidRPr="008E0C96" w:rsidRDefault="00930FBB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E0C96">
              <w:rPr>
                <w:rFonts w:eastAsia="Times New Roman" w:cs="Arial"/>
                <w:sz w:val="20"/>
                <w:szCs w:val="20"/>
                <w:lang w:val="en-US"/>
              </w:rPr>
              <w:t>Drafted by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8776FE1" w14:textId="799B8957" w:rsidR="00930FBB" w:rsidRPr="008E0C96" w:rsidRDefault="00BD77C3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Kelvin O’Reilly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90BDA51" w14:textId="77777777" w:rsidR="00930FBB" w:rsidRPr="008E0C96" w:rsidRDefault="00930FBB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E0C96">
              <w:rPr>
                <w:rFonts w:eastAsia="Times New Roman" w:cs="Arial"/>
                <w:sz w:val="20"/>
                <w:szCs w:val="20"/>
                <w:lang w:val="en-US"/>
              </w:rPr>
              <w:t>Approved by Board 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6C30528" w14:textId="5B06284A" w:rsidR="00930FBB" w:rsidRPr="008E0C96" w:rsidRDefault="00150B93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10 April </w:t>
            </w:r>
            <w:r w:rsidR="00E6366A">
              <w:rPr>
                <w:rFonts w:eastAsia="Times New Roman" w:cs="Arial"/>
                <w:sz w:val="20"/>
                <w:szCs w:val="20"/>
                <w:lang w:val="en-US"/>
              </w:rPr>
              <w:t>2014</w:t>
            </w:r>
          </w:p>
        </w:tc>
      </w:tr>
      <w:tr w:rsidR="00A133DB" w:rsidRPr="00A133DB" w14:paraId="1612EEF4" w14:textId="77777777" w:rsidTr="00A133DB">
        <w:tc>
          <w:tcPr>
            <w:tcW w:w="2410" w:type="dxa"/>
            <w:shd w:val="clear" w:color="auto" w:fill="E2EFD9" w:themeFill="accent6" w:themeFillTint="33"/>
          </w:tcPr>
          <w:p w14:paraId="4C72EA75" w14:textId="77777777" w:rsidR="00930FBB" w:rsidRDefault="00930FBB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E0C96">
              <w:rPr>
                <w:rFonts w:eastAsia="Times New Roman" w:cs="Arial"/>
                <w:sz w:val="20"/>
                <w:szCs w:val="20"/>
                <w:lang w:val="en-US"/>
              </w:rPr>
              <w:t>Responsible person</w:t>
            </w:r>
          </w:p>
          <w:p w14:paraId="602166B6" w14:textId="6F997859" w:rsidR="00CF033C" w:rsidRPr="008E0C96" w:rsidRDefault="00CF033C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BD77C3">
              <w:rPr>
                <w:rFonts w:eastAsia="Times New Roman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123CED9" w14:textId="77777777" w:rsidR="00930FBB" w:rsidRDefault="00BD77C3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CEO</w:t>
            </w:r>
          </w:p>
          <w:p w14:paraId="7C6E35F8" w14:textId="15C343A9" w:rsidR="00CF033C" w:rsidRPr="008E0C96" w:rsidRDefault="00CF033C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BD77C3">
              <w:rPr>
                <w:rFonts w:eastAsia="Times New Roman" w:cs="Arial"/>
                <w:b/>
                <w:sz w:val="20"/>
                <w:szCs w:val="20"/>
                <w:lang w:val="en-US"/>
              </w:rPr>
              <w:t>Public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2A56380" w14:textId="4ABD352A" w:rsidR="00CF033C" w:rsidRDefault="00CF033C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Reviewed by Board</w:t>
            </w:r>
          </w:p>
          <w:p w14:paraId="2B1973D7" w14:textId="77777777" w:rsidR="00930FBB" w:rsidRPr="008E0C96" w:rsidRDefault="00930FBB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E0C96">
              <w:rPr>
                <w:rFonts w:eastAsia="Times New Roman" w:cs="Arial"/>
                <w:sz w:val="20"/>
                <w:szCs w:val="20"/>
                <w:lang w:val="en-US"/>
              </w:rPr>
              <w:t>Scheduled review date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545BE88" w14:textId="448B731B" w:rsidR="00CF033C" w:rsidRDefault="00E2377E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24 February 2017</w:t>
            </w:r>
          </w:p>
          <w:p w14:paraId="0A7DC59E" w14:textId="2657F8AD" w:rsidR="00930FBB" w:rsidRPr="008E0C96" w:rsidRDefault="00CF033C" w:rsidP="00930FB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Every 3 years or as required</w:t>
            </w:r>
          </w:p>
        </w:tc>
      </w:tr>
    </w:tbl>
    <w:p w14:paraId="6F65D517" w14:textId="77777777" w:rsidR="00930FBB" w:rsidRPr="008E0C96" w:rsidRDefault="00930FBB" w:rsidP="00930FBB">
      <w:pPr>
        <w:keepNext/>
        <w:keepLines/>
        <w:spacing w:before="60" w:after="120" w:line="240" w:lineRule="auto"/>
        <w:outlineLvl w:val="1"/>
        <w:rPr>
          <w:rFonts w:eastAsia="MS Gothic" w:cs="Times New Roman"/>
          <w:b/>
          <w:bCs/>
          <w:smallCaps/>
          <w:sz w:val="20"/>
          <w:szCs w:val="20"/>
          <w:lang w:val="x-none" w:eastAsia="x-none"/>
        </w:rPr>
      </w:pPr>
    </w:p>
    <w:p w14:paraId="30ACB404" w14:textId="54CAC484" w:rsidR="00930FBB" w:rsidRPr="002F2288" w:rsidRDefault="00930FBB" w:rsidP="008E0C96">
      <w:pPr>
        <w:keepNext/>
        <w:keepLines/>
        <w:spacing w:before="60" w:after="120" w:line="240" w:lineRule="auto"/>
        <w:jc w:val="both"/>
        <w:outlineLvl w:val="1"/>
        <w:rPr>
          <w:rFonts w:eastAsia="MS Gothic" w:cs="Times New Roman"/>
          <w:b/>
          <w:bCs/>
          <w:smallCaps/>
          <w:lang w:val="en-AU" w:eastAsia="x-none"/>
        </w:rPr>
      </w:pPr>
      <w:r w:rsidRPr="003556AC">
        <w:rPr>
          <w:rFonts w:eastAsia="MS Gothic" w:cs="Times New Roman"/>
          <w:b/>
          <w:bCs/>
          <w:smallCaps/>
          <w:lang w:val="x-none" w:eastAsia="x-none"/>
        </w:rPr>
        <w:t>Introduction</w:t>
      </w:r>
      <w:r w:rsidR="002F2288">
        <w:rPr>
          <w:rFonts w:eastAsia="MS Gothic" w:cs="Times New Roman"/>
          <w:b/>
          <w:bCs/>
          <w:smallCaps/>
          <w:lang w:val="en-AU" w:eastAsia="x-none"/>
        </w:rPr>
        <w:t xml:space="preserve"> </w:t>
      </w:r>
    </w:p>
    <w:p w14:paraId="35524DCE" w14:textId="49B489EC" w:rsidR="00C466BB" w:rsidRDefault="00C466BB" w:rsidP="00C466BB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20"/>
          <w:szCs w:val="20"/>
        </w:rPr>
      </w:pPr>
      <w:r>
        <w:rPr>
          <w:rFonts w:cs="TheMix-B2ExtraLight"/>
          <w:sz w:val="20"/>
          <w:szCs w:val="20"/>
        </w:rPr>
        <w:t>The Board of Australian Karting Association Ltd trading as Karting Australia (KA) is the sole body empowered to make rules for the conduct of sprint karting competition in Australia.</w:t>
      </w:r>
    </w:p>
    <w:p w14:paraId="38810BF5" w14:textId="77777777" w:rsidR="00C466BB" w:rsidRDefault="00C466BB" w:rsidP="00C466BB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20"/>
          <w:szCs w:val="20"/>
        </w:rPr>
      </w:pPr>
    </w:p>
    <w:p w14:paraId="215555E4" w14:textId="6B3EECB4" w:rsidR="00C466BB" w:rsidRDefault="00C466BB" w:rsidP="00C466BB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20"/>
          <w:szCs w:val="20"/>
        </w:rPr>
      </w:pPr>
      <w:r w:rsidRPr="00C466BB">
        <w:rPr>
          <w:rFonts w:cs="TheMix-B2ExtraLight"/>
          <w:sz w:val="20"/>
          <w:szCs w:val="20"/>
        </w:rPr>
        <w:t>It is the intention</w:t>
      </w:r>
      <w:r>
        <w:rPr>
          <w:rFonts w:cs="TheMix-B2ExtraLight"/>
          <w:sz w:val="20"/>
          <w:szCs w:val="20"/>
        </w:rPr>
        <w:t xml:space="preserve"> of the KA</w:t>
      </w:r>
      <w:r w:rsidRPr="00C466BB">
        <w:rPr>
          <w:rFonts w:cs="TheMix-B2ExtraLight"/>
          <w:sz w:val="20"/>
          <w:szCs w:val="20"/>
        </w:rPr>
        <w:t xml:space="preserve"> Board to provide stability of regulations and to restrict changes to the KA Manual and Rules to a minimum during any competition year. </w:t>
      </w:r>
    </w:p>
    <w:p w14:paraId="06F66376" w14:textId="77777777" w:rsidR="00C466BB" w:rsidRDefault="00C466BB" w:rsidP="00C466BB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20"/>
          <w:szCs w:val="20"/>
        </w:rPr>
      </w:pPr>
    </w:p>
    <w:p w14:paraId="44CFA6C3" w14:textId="101E92A5" w:rsidR="00C466BB" w:rsidRPr="00C466BB" w:rsidRDefault="00C466BB" w:rsidP="00C466BB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20"/>
          <w:szCs w:val="20"/>
        </w:rPr>
      </w:pPr>
      <w:r w:rsidRPr="00C466BB">
        <w:rPr>
          <w:rFonts w:cs="TheMix-B2ExtraLight"/>
          <w:sz w:val="20"/>
          <w:szCs w:val="20"/>
        </w:rPr>
        <w:t>As an overriding principle, unless there are issues of safety, pending force maj</w:t>
      </w:r>
      <w:r w:rsidR="00D51067">
        <w:rPr>
          <w:rFonts w:cs="TheMix-B2ExtraLight"/>
          <w:sz w:val="20"/>
          <w:szCs w:val="20"/>
        </w:rPr>
        <w:t>eure</w:t>
      </w:r>
      <w:r w:rsidR="00150B93">
        <w:rPr>
          <w:rFonts w:cs="TheMix-B2ExtraLight"/>
          <w:sz w:val="20"/>
          <w:szCs w:val="20"/>
        </w:rPr>
        <w:t xml:space="preserve">, force majeure, </w:t>
      </w:r>
      <w:r w:rsidR="00E2377E">
        <w:rPr>
          <w:rFonts w:cs="TheMix-B2ExtraLight"/>
          <w:sz w:val="20"/>
          <w:szCs w:val="20"/>
        </w:rPr>
        <w:t>and compliance</w:t>
      </w:r>
      <w:r w:rsidR="00150B93">
        <w:rPr>
          <w:rFonts w:cs="TheMix-B2ExtraLight"/>
          <w:sz w:val="20"/>
          <w:szCs w:val="20"/>
        </w:rPr>
        <w:t xml:space="preserve"> with laws</w:t>
      </w:r>
      <w:r w:rsidR="00D51067">
        <w:rPr>
          <w:rFonts w:cs="TheMix-B2ExtraLight"/>
          <w:sz w:val="20"/>
          <w:szCs w:val="20"/>
        </w:rPr>
        <w:t xml:space="preserve"> or compelling supply difficulties</w:t>
      </w:r>
      <w:r w:rsidRPr="00C466BB">
        <w:rPr>
          <w:rFonts w:cs="TheMix-B2ExtraLight"/>
          <w:sz w:val="20"/>
          <w:szCs w:val="20"/>
        </w:rPr>
        <w:t>, rules will not generally be the subject of change at any time other than for the commencement of a competition year.</w:t>
      </w:r>
    </w:p>
    <w:p w14:paraId="6D3D60E7" w14:textId="77777777" w:rsidR="00C466BB" w:rsidRPr="00C466BB" w:rsidRDefault="00C466BB" w:rsidP="00C466BB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20"/>
          <w:szCs w:val="20"/>
        </w:rPr>
      </w:pPr>
    </w:p>
    <w:p w14:paraId="151AEBFD" w14:textId="1257195C" w:rsidR="00C466BB" w:rsidRPr="00D51067" w:rsidRDefault="00C466BB" w:rsidP="00C466BB">
      <w:pPr>
        <w:keepNext/>
        <w:keepLines/>
        <w:spacing w:before="60" w:after="120" w:line="240" w:lineRule="auto"/>
        <w:jc w:val="both"/>
        <w:outlineLvl w:val="1"/>
        <w:rPr>
          <w:rFonts w:cs="TheMix-B2ExtraLight"/>
          <w:b/>
          <w:color w:val="006600"/>
          <w:sz w:val="20"/>
          <w:szCs w:val="20"/>
        </w:rPr>
      </w:pPr>
      <w:r w:rsidRPr="00D51067">
        <w:rPr>
          <w:rFonts w:cs="TheMix-B2ExtraLight"/>
          <w:b/>
          <w:color w:val="006600"/>
          <w:sz w:val="20"/>
          <w:szCs w:val="20"/>
        </w:rPr>
        <w:t xml:space="preserve">Applications should be submitted by no later than </w:t>
      </w:r>
      <w:r w:rsidRPr="00E2377E">
        <w:rPr>
          <w:rFonts w:cs="TheMix-B2ExtraLight"/>
          <w:b/>
          <w:color w:val="FF0000"/>
          <w:sz w:val="20"/>
          <w:szCs w:val="20"/>
        </w:rPr>
        <w:t xml:space="preserve">30 </w:t>
      </w:r>
      <w:r w:rsidR="00E2377E" w:rsidRPr="00E2377E">
        <w:rPr>
          <w:rFonts w:cs="TheMix-B2ExtraLight"/>
          <w:b/>
          <w:color w:val="FF0000"/>
          <w:sz w:val="20"/>
          <w:szCs w:val="20"/>
        </w:rPr>
        <w:t>May</w:t>
      </w:r>
      <w:r w:rsidRPr="00E2377E">
        <w:rPr>
          <w:rFonts w:cs="TheMix-B2ExtraLight"/>
          <w:b/>
          <w:color w:val="FF0000"/>
          <w:sz w:val="20"/>
          <w:szCs w:val="20"/>
        </w:rPr>
        <w:t xml:space="preserve"> </w:t>
      </w:r>
      <w:r w:rsidRPr="00D51067">
        <w:rPr>
          <w:rFonts w:cs="TheMix-B2ExtraLight"/>
          <w:b/>
          <w:color w:val="006600"/>
          <w:sz w:val="20"/>
          <w:szCs w:val="20"/>
        </w:rPr>
        <w:t xml:space="preserve">each year. </w:t>
      </w:r>
    </w:p>
    <w:p w14:paraId="6EA1D6EC" w14:textId="44DC0D05" w:rsidR="00930FBB" w:rsidRPr="008E0C96" w:rsidRDefault="007B03C3" w:rsidP="00C466BB">
      <w:pPr>
        <w:keepNext/>
        <w:keepLines/>
        <w:spacing w:before="60" w:after="120" w:line="240" w:lineRule="auto"/>
        <w:jc w:val="both"/>
        <w:outlineLvl w:val="1"/>
        <w:rPr>
          <w:rFonts w:eastAsia="MS Gothic" w:cs="Times New Roman"/>
          <w:b/>
          <w:bCs/>
          <w:smallCaps/>
          <w:lang w:val="en-AU" w:eastAsia="x-none"/>
        </w:rPr>
      </w:pPr>
      <w:r w:rsidRPr="008E0C96">
        <w:rPr>
          <w:rFonts w:eastAsia="MS Gothic" w:cs="Times New Roman"/>
          <w:b/>
          <w:bCs/>
          <w:smallCaps/>
          <w:lang w:val="en-AU" w:eastAsia="x-none"/>
        </w:rPr>
        <w:t>Definitions</w:t>
      </w:r>
    </w:p>
    <w:p w14:paraId="51BF03F5" w14:textId="77777777" w:rsidR="007B03C3" w:rsidRPr="008E0C96" w:rsidRDefault="007B03C3" w:rsidP="008E0C96">
      <w:pPr>
        <w:spacing w:after="0"/>
        <w:jc w:val="both"/>
        <w:rPr>
          <w:sz w:val="20"/>
          <w:szCs w:val="20"/>
        </w:rPr>
      </w:pPr>
      <w:r w:rsidRPr="008E0C96">
        <w:rPr>
          <w:sz w:val="20"/>
          <w:szCs w:val="20"/>
        </w:rPr>
        <w:t>In addition to the definitions in the KA Manual, the following definitions apply to this policy:</w:t>
      </w:r>
    </w:p>
    <w:p w14:paraId="2807C152" w14:textId="0807A167" w:rsidR="007B03C3" w:rsidRPr="008E0C96" w:rsidRDefault="00C466BB" w:rsidP="008E0C96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Industry Suppliers</w:t>
      </w:r>
    </w:p>
    <w:p w14:paraId="4C902F2B" w14:textId="2D2748CE" w:rsidR="007B03C3" w:rsidRPr="008E0C96" w:rsidRDefault="00C466BB" w:rsidP="008E0C9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Means any of the major suppliers of karts, chassis, engines and general components used in karting competition</w:t>
      </w:r>
    </w:p>
    <w:p w14:paraId="526E704B" w14:textId="6937B653" w:rsidR="007B03C3" w:rsidRPr="008E0C96" w:rsidRDefault="00C466BB" w:rsidP="008E0C96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Key National Officials</w:t>
      </w:r>
    </w:p>
    <w:p w14:paraId="219B44F9" w14:textId="2398B4C6" w:rsidR="00C466BB" w:rsidRPr="00D51067" w:rsidRDefault="00C466BB" w:rsidP="00C466BB">
      <w:pPr>
        <w:spacing w:after="0" w:line="240" w:lineRule="auto"/>
        <w:ind w:left="11" w:hanging="11"/>
        <w:jc w:val="both"/>
        <w:rPr>
          <w:rFonts w:eastAsia="MS Mincho" w:cs="Times New Roman"/>
          <w:b/>
          <w:sz w:val="20"/>
          <w:szCs w:val="20"/>
          <w:lang w:val="en-US"/>
        </w:rPr>
      </w:pPr>
      <w:r w:rsidRPr="00D51067">
        <w:rPr>
          <w:rFonts w:eastAsia="MS Mincho" w:cs="Times New Roman"/>
          <w:sz w:val="20"/>
          <w:szCs w:val="20"/>
          <w:lang w:val="en-US"/>
        </w:rPr>
        <w:t>Means any of the National Officials identified on the KA Organisational Structure Chart</w:t>
      </w:r>
    </w:p>
    <w:p w14:paraId="0697ADB6" w14:textId="77777777" w:rsidR="00C466BB" w:rsidRDefault="00C466BB" w:rsidP="00C466BB">
      <w:pPr>
        <w:spacing w:after="0" w:line="240" w:lineRule="auto"/>
        <w:ind w:left="11" w:hanging="11"/>
        <w:jc w:val="both"/>
        <w:rPr>
          <w:rFonts w:eastAsia="MS Mincho" w:cs="Times New Roman"/>
          <w:b/>
          <w:lang w:val="en-US"/>
        </w:rPr>
      </w:pPr>
    </w:p>
    <w:p w14:paraId="2274ADDF" w14:textId="77777777" w:rsidR="00930FBB" w:rsidRPr="008E0C96" w:rsidRDefault="00930FBB" w:rsidP="008E0C96">
      <w:pPr>
        <w:spacing w:before="60" w:after="120" w:line="240" w:lineRule="auto"/>
        <w:ind w:left="11" w:hanging="11"/>
        <w:jc w:val="both"/>
        <w:rPr>
          <w:rFonts w:eastAsia="MS Mincho" w:cs="Times New Roman"/>
          <w:b/>
          <w:lang w:val="en-US"/>
        </w:rPr>
      </w:pPr>
      <w:r w:rsidRPr="008E0C96">
        <w:rPr>
          <w:rFonts w:eastAsia="MS Mincho" w:cs="Times New Roman"/>
          <w:b/>
          <w:lang w:val="en-US"/>
        </w:rPr>
        <w:t>Applies To</w:t>
      </w:r>
    </w:p>
    <w:p w14:paraId="3B113627" w14:textId="511226B8" w:rsidR="00D51067" w:rsidRDefault="00930FBB" w:rsidP="008E0C96">
      <w:pPr>
        <w:spacing w:before="60" w:after="120" w:line="240" w:lineRule="auto"/>
        <w:ind w:left="11" w:hanging="11"/>
        <w:jc w:val="both"/>
        <w:rPr>
          <w:rFonts w:eastAsia="MS Mincho" w:cs="Times New Roman"/>
          <w:sz w:val="20"/>
          <w:szCs w:val="20"/>
          <w:lang w:val="en-US"/>
        </w:rPr>
      </w:pPr>
      <w:r w:rsidRPr="008E0C96">
        <w:rPr>
          <w:rFonts w:eastAsia="MS Mincho" w:cs="Times New Roman"/>
          <w:sz w:val="20"/>
          <w:szCs w:val="20"/>
          <w:lang w:val="en-US"/>
        </w:rPr>
        <w:t xml:space="preserve">The policy applies to </w:t>
      </w:r>
      <w:r w:rsidR="00C466BB">
        <w:rPr>
          <w:rFonts w:eastAsia="MS Mincho" w:cs="Times New Roman"/>
          <w:sz w:val="20"/>
          <w:szCs w:val="20"/>
          <w:lang w:val="en-US"/>
        </w:rPr>
        <w:t>proposal</w:t>
      </w:r>
      <w:r w:rsidR="00422A2B">
        <w:rPr>
          <w:rFonts w:eastAsia="MS Mincho" w:cs="Times New Roman"/>
          <w:sz w:val="20"/>
          <w:szCs w:val="20"/>
          <w:lang w:val="en-US"/>
        </w:rPr>
        <w:t>s</w:t>
      </w:r>
      <w:r w:rsidR="00150B93">
        <w:rPr>
          <w:rFonts w:eastAsia="MS Mincho" w:cs="Times New Roman"/>
          <w:sz w:val="20"/>
          <w:szCs w:val="20"/>
          <w:lang w:val="en-US"/>
        </w:rPr>
        <w:t xml:space="preserve"> for new Rules or </w:t>
      </w:r>
      <w:r w:rsidR="00C466BB">
        <w:rPr>
          <w:rFonts w:eastAsia="MS Mincho" w:cs="Times New Roman"/>
          <w:sz w:val="20"/>
          <w:szCs w:val="20"/>
          <w:lang w:val="en-US"/>
        </w:rPr>
        <w:t>changes</w:t>
      </w:r>
      <w:r w:rsidRPr="008E0C96">
        <w:rPr>
          <w:rFonts w:eastAsia="MS Mincho" w:cs="Times New Roman"/>
          <w:sz w:val="20"/>
          <w:szCs w:val="20"/>
          <w:lang w:val="en-US"/>
        </w:rPr>
        <w:t xml:space="preserve"> </w:t>
      </w:r>
      <w:r w:rsidR="00150B93">
        <w:rPr>
          <w:rFonts w:eastAsia="MS Mincho" w:cs="Times New Roman"/>
          <w:sz w:val="20"/>
          <w:szCs w:val="20"/>
          <w:lang w:val="en-US"/>
        </w:rPr>
        <w:t>to any of the R</w:t>
      </w:r>
      <w:r w:rsidR="00C466BB">
        <w:rPr>
          <w:rFonts w:eastAsia="MS Mincho" w:cs="Times New Roman"/>
          <w:sz w:val="20"/>
          <w:szCs w:val="20"/>
          <w:lang w:val="en-US"/>
        </w:rPr>
        <w:t>ules i</w:t>
      </w:r>
      <w:r w:rsidR="00422A2B">
        <w:rPr>
          <w:rFonts w:eastAsia="MS Mincho" w:cs="Times New Roman"/>
          <w:sz w:val="20"/>
          <w:szCs w:val="20"/>
          <w:lang w:val="en-US"/>
        </w:rPr>
        <w:t>n the KA Manual in the General R</w:t>
      </w:r>
      <w:r w:rsidR="00C466BB">
        <w:rPr>
          <w:rFonts w:eastAsia="MS Mincho" w:cs="Times New Roman"/>
          <w:sz w:val="20"/>
          <w:szCs w:val="20"/>
          <w:lang w:val="en-US"/>
        </w:rPr>
        <w:t xml:space="preserve">egulations, Competition, Technical and Competition Classes </w:t>
      </w:r>
      <w:r w:rsidR="00422A2B">
        <w:rPr>
          <w:rFonts w:eastAsia="MS Mincho" w:cs="Times New Roman"/>
          <w:sz w:val="20"/>
          <w:szCs w:val="20"/>
          <w:lang w:val="en-US"/>
        </w:rPr>
        <w:t xml:space="preserve">sections. </w:t>
      </w:r>
    </w:p>
    <w:p w14:paraId="713F16BB" w14:textId="1E57533B" w:rsidR="00930FBB" w:rsidRPr="008E0C96" w:rsidRDefault="00422A2B" w:rsidP="008E0C96">
      <w:pPr>
        <w:spacing w:before="60" w:after="120" w:line="240" w:lineRule="auto"/>
        <w:ind w:left="11" w:hanging="11"/>
        <w:jc w:val="both"/>
        <w:rPr>
          <w:rFonts w:eastAsia="MS Mincho" w:cs="Times New Roman"/>
          <w:sz w:val="20"/>
          <w:szCs w:val="20"/>
          <w:lang w:val="en-US"/>
        </w:rPr>
      </w:pPr>
      <w:r>
        <w:rPr>
          <w:rFonts w:eastAsia="MS Mincho" w:cs="Times New Roman"/>
          <w:sz w:val="20"/>
          <w:szCs w:val="20"/>
          <w:lang w:val="en-US"/>
        </w:rPr>
        <w:t xml:space="preserve">This policy does not apply </w:t>
      </w:r>
      <w:r w:rsidRPr="00C466BB">
        <w:rPr>
          <w:rFonts w:cs="TheMix-B2ExtraLight"/>
          <w:sz w:val="20"/>
          <w:szCs w:val="20"/>
        </w:rPr>
        <w:t>to homologation, re-homologation and component evolutions.</w:t>
      </w:r>
    </w:p>
    <w:p w14:paraId="5DCB1B4E" w14:textId="77777777" w:rsidR="00D51067" w:rsidRDefault="00D51067" w:rsidP="008E0C96">
      <w:pPr>
        <w:spacing w:before="60" w:after="120" w:line="240" w:lineRule="auto"/>
        <w:ind w:left="11" w:hanging="11"/>
        <w:jc w:val="both"/>
        <w:rPr>
          <w:rFonts w:eastAsia="MS Mincho" w:cs="Times New Roman"/>
          <w:b/>
          <w:lang w:val="en-US"/>
        </w:rPr>
      </w:pPr>
    </w:p>
    <w:p w14:paraId="1C57F228" w14:textId="77777777" w:rsidR="00231CEC" w:rsidRPr="008E0C96" w:rsidRDefault="00231CEC" w:rsidP="008E0C96">
      <w:pPr>
        <w:spacing w:before="60" w:after="120" w:line="240" w:lineRule="auto"/>
        <w:ind w:left="11" w:hanging="11"/>
        <w:jc w:val="both"/>
        <w:rPr>
          <w:rFonts w:eastAsia="MS Mincho" w:cs="Times New Roman"/>
          <w:b/>
          <w:lang w:val="en-US"/>
        </w:rPr>
      </w:pPr>
      <w:r w:rsidRPr="008E0C96">
        <w:rPr>
          <w:rFonts w:eastAsia="MS Mincho" w:cs="Times New Roman"/>
          <w:b/>
          <w:lang w:val="en-US"/>
        </w:rPr>
        <w:t>Objectives</w:t>
      </w:r>
    </w:p>
    <w:p w14:paraId="74F1A37F" w14:textId="70A442F2" w:rsidR="007B03C3" w:rsidRDefault="007B03C3" w:rsidP="008E0C96">
      <w:pPr>
        <w:spacing w:before="120"/>
        <w:ind w:left="11"/>
        <w:jc w:val="both"/>
        <w:rPr>
          <w:sz w:val="20"/>
          <w:szCs w:val="20"/>
        </w:rPr>
      </w:pPr>
      <w:r w:rsidRPr="008E0C96">
        <w:rPr>
          <w:sz w:val="20"/>
          <w:szCs w:val="20"/>
        </w:rPr>
        <w:t xml:space="preserve">To </w:t>
      </w:r>
      <w:r w:rsidR="00422A2B">
        <w:rPr>
          <w:sz w:val="20"/>
          <w:szCs w:val="20"/>
        </w:rPr>
        <w:t xml:space="preserve">provide a clear framework for the submission of </w:t>
      </w:r>
      <w:r w:rsidR="00150B93">
        <w:rPr>
          <w:sz w:val="20"/>
          <w:szCs w:val="20"/>
        </w:rPr>
        <w:t>well thought out proposals for R</w:t>
      </w:r>
      <w:r w:rsidR="00422A2B">
        <w:rPr>
          <w:sz w:val="20"/>
          <w:szCs w:val="20"/>
        </w:rPr>
        <w:t xml:space="preserve">ule changes that may improve the elements of competition in karting in Australia at any of </w:t>
      </w:r>
      <w:r w:rsidR="00D51067">
        <w:rPr>
          <w:sz w:val="20"/>
          <w:szCs w:val="20"/>
        </w:rPr>
        <w:t>the levels of Club, State, and N</w:t>
      </w:r>
      <w:r w:rsidR="00422A2B">
        <w:rPr>
          <w:sz w:val="20"/>
          <w:szCs w:val="20"/>
        </w:rPr>
        <w:t xml:space="preserve">ational competition. </w:t>
      </w:r>
    </w:p>
    <w:p w14:paraId="0F8180BF" w14:textId="764EE2EC" w:rsidR="00422A2B" w:rsidRPr="008E0C96" w:rsidRDefault="00422A2B" w:rsidP="008E0C96">
      <w:pPr>
        <w:spacing w:before="120"/>
        <w:ind w:left="11"/>
        <w:jc w:val="both"/>
        <w:rPr>
          <w:sz w:val="20"/>
          <w:szCs w:val="20"/>
        </w:rPr>
      </w:pPr>
      <w:r>
        <w:rPr>
          <w:sz w:val="20"/>
          <w:szCs w:val="20"/>
        </w:rPr>
        <w:t>To provide stability of regulations and wherever possible to restrict sporting and technical rule changes to be made on an annual basis.</w:t>
      </w:r>
    </w:p>
    <w:p w14:paraId="09402747" w14:textId="77777777" w:rsidR="00D51067" w:rsidRDefault="00D51067" w:rsidP="008E0C96">
      <w:pPr>
        <w:keepNext/>
        <w:keepLines/>
        <w:spacing w:after="0" w:line="240" w:lineRule="auto"/>
        <w:jc w:val="both"/>
        <w:outlineLvl w:val="1"/>
        <w:rPr>
          <w:rFonts w:eastAsia="MS Gothic" w:cs="Times New Roman"/>
          <w:b/>
          <w:bCs/>
          <w:smallCaps/>
          <w:lang w:val="x-none" w:eastAsia="x-none"/>
        </w:rPr>
      </w:pPr>
    </w:p>
    <w:p w14:paraId="751A3D77" w14:textId="77777777" w:rsidR="00930FBB" w:rsidRPr="008E0C96" w:rsidRDefault="00930FBB" w:rsidP="008E0C96">
      <w:pPr>
        <w:keepNext/>
        <w:keepLines/>
        <w:spacing w:after="0" w:line="240" w:lineRule="auto"/>
        <w:jc w:val="both"/>
        <w:outlineLvl w:val="1"/>
        <w:rPr>
          <w:rFonts w:eastAsia="MS Gothic" w:cs="Times New Roman"/>
          <w:b/>
          <w:bCs/>
          <w:smallCaps/>
          <w:lang w:val="x-none" w:eastAsia="x-none"/>
        </w:rPr>
      </w:pPr>
      <w:r w:rsidRPr="008E0C96">
        <w:rPr>
          <w:rFonts w:eastAsia="MS Gothic" w:cs="Times New Roman"/>
          <w:b/>
          <w:bCs/>
          <w:smallCaps/>
          <w:lang w:val="x-none" w:eastAsia="x-none"/>
        </w:rPr>
        <w:t>Policy</w:t>
      </w:r>
    </w:p>
    <w:p w14:paraId="3FA50190" w14:textId="06154A54" w:rsidR="00422A2B" w:rsidRPr="0010550C" w:rsidRDefault="00422A2B" w:rsidP="00422A2B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  <w:lang w:val="en-AU"/>
        </w:rPr>
      </w:pPr>
      <w:r>
        <w:rPr>
          <w:sz w:val="20"/>
          <w:szCs w:val="20"/>
        </w:rPr>
        <w:t>New Rules and Rule Change Requests</w:t>
      </w:r>
      <w:r w:rsidR="00A20D5D">
        <w:rPr>
          <w:sz w:val="20"/>
          <w:szCs w:val="20"/>
        </w:rPr>
        <w:t xml:space="preserve"> (Requests)</w:t>
      </w:r>
      <w:r w:rsidR="0010550C">
        <w:rPr>
          <w:sz w:val="20"/>
          <w:szCs w:val="20"/>
        </w:rPr>
        <w:t xml:space="preserve"> may be made by</w:t>
      </w:r>
      <w:r w:rsidR="0010550C">
        <w:rPr>
          <w:rFonts w:cs="Arial"/>
          <w:sz w:val="20"/>
          <w:szCs w:val="20"/>
          <w:lang w:val="en-AU"/>
        </w:rPr>
        <w:t xml:space="preserve"> </w:t>
      </w:r>
      <w:r w:rsidR="0010550C">
        <w:rPr>
          <w:sz w:val="20"/>
          <w:szCs w:val="20"/>
        </w:rPr>
        <w:t>t</w:t>
      </w:r>
      <w:r w:rsidRPr="0010550C">
        <w:rPr>
          <w:sz w:val="20"/>
          <w:szCs w:val="20"/>
        </w:rPr>
        <w:t>he following people or groups:</w:t>
      </w:r>
    </w:p>
    <w:p w14:paraId="0C58A7DE" w14:textId="277B57EF" w:rsidR="00422A2B" w:rsidRDefault="00422A2B" w:rsidP="00422A2B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Board Members</w:t>
      </w:r>
    </w:p>
    <w:p w14:paraId="7EA1FD32" w14:textId="24662384" w:rsidR="00422A2B" w:rsidRDefault="00422A2B" w:rsidP="00422A2B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CEO</w:t>
      </w:r>
    </w:p>
    <w:p w14:paraId="148C8EA7" w14:textId="77777777" w:rsidR="00F26861" w:rsidRDefault="00F26861" w:rsidP="00F26861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Ordinary Members</w:t>
      </w:r>
    </w:p>
    <w:p w14:paraId="6EBEAFAB" w14:textId="504AECA9" w:rsidR="00422A2B" w:rsidRDefault="00422A2B" w:rsidP="00422A2B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Key National Officials</w:t>
      </w:r>
    </w:p>
    <w:p w14:paraId="4064355D" w14:textId="52D455A9" w:rsidR="00150B93" w:rsidRDefault="00150B93" w:rsidP="00422A2B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 Functional Committees</w:t>
      </w:r>
    </w:p>
    <w:p w14:paraId="6565EB7B" w14:textId="5369B67C" w:rsidR="00422A2B" w:rsidRDefault="00422A2B" w:rsidP="00422A2B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Industry Suppliers</w:t>
      </w:r>
    </w:p>
    <w:p w14:paraId="50AF6DE6" w14:textId="1540D6A1" w:rsidR="00F26861" w:rsidRDefault="00F26861" w:rsidP="00F26861">
      <w:pPr>
        <w:jc w:val="both"/>
      </w:pPr>
    </w:p>
    <w:p w14:paraId="3E887D6F" w14:textId="77777777" w:rsidR="00F26861" w:rsidRPr="00F26861" w:rsidRDefault="00F26861" w:rsidP="00F26861">
      <w:pPr>
        <w:jc w:val="both"/>
        <w:rPr>
          <w:sz w:val="20"/>
          <w:szCs w:val="20"/>
        </w:rPr>
      </w:pPr>
    </w:p>
    <w:p w14:paraId="656AE4C8" w14:textId="02AD9E6A" w:rsidR="0036675F" w:rsidRPr="00150B93" w:rsidRDefault="00A20D5D" w:rsidP="0036675F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</w:rPr>
        <w:t>All Requests should be made using the New Rule / Rule Change Request Form.</w:t>
      </w:r>
    </w:p>
    <w:p w14:paraId="48B59CE4" w14:textId="655E11BF" w:rsidR="00D51067" w:rsidRPr="00150B93" w:rsidRDefault="00A20D5D" w:rsidP="00D51067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All sections of the form must be completed in full.</w:t>
      </w:r>
    </w:p>
    <w:p w14:paraId="04E43D7E" w14:textId="4423F81C" w:rsidR="00A20D5D" w:rsidRDefault="00A20D5D" w:rsidP="00A20D5D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The precise changes</w:t>
      </w:r>
      <w:r w:rsidR="0036675F">
        <w:rPr>
          <w:rFonts w:cs="Arial"/>
          <w:sz w:val="20"/>
          <w:szCs w:val="20"/>
          <w:lang w:val="en-AU"/>
        </w:rPr>
        <w:t xml:space="preserve"> requested should be identified including the supply of any technical drawing that may be required for the sake of absolute clarity and interpretation of the </w:t>
      </w:r>
      <w:r w:rsidR="00D51067">
        <w:rPr>
          <w:rFonts w:cs="Arial"/>
          <w:sz w:val="20"/>
          <w:szCs w:val="20"/>
          <w:lang w:val="en-AU"/>
        </w:rPr>
        <w:t xml:space="preserve">proposed </w:t>
      </w:r>
      <w:r w:rsidR="0036675F">
        <w:rPr>
          <w:rFonts w:cs="Arial"/>
          <w:sz w:val="20"/>
          <w:szCs w:val="20"/>
          <w:lang w:val="en-AU"/>
        </w:rPr>
        <w:t>rule.</w:t>
      </w:r>
    </w:p>
    <w:p w14:paraId="32F23000" w14:textId="7E2100E7" w:rsidR="00D51067" w:rsidRPr="00D51067" w:rsidRDefault="00A20D5D" w:rsidP="00D51067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The reason for the Request and what the New Rule / Rule Change is meant to achieve must be clearly identified.</w:t>
      </w:r>
    </w:p>
    <w:p w14:paraId="0AC5A755" w14:textId="537B2DE9" w:rsidR="00A20D5D" w:rsidRDefault="00A20D5D" w:rsidP="00A20D5D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All cost implication must be clearly and accurately identified including:</w:t>
      </w:r>
    </w:p>
    <w:p w14:paraId="65ADDAD0" w14:textId="17FCB410" w:rsidR="00A20D5D" w:rsidRDefault="00A20D5D" w:rsidP="00A20D5D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any redundancy costs that may be incurred by Competitors if the Request is approved; and</w:t>
      </w:r>
    </w:p>
    <w:p w14:paraId="4B7B45C8" w14:textId="549491BE" w:rsidR="00A20D5D" w:rsidRDefault="00A20D5D" w:rsidP="00A20D5D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any cost savings or benefits that will occur if the Request is approved; and</w:t>
      </w:r>
    </w:p>
    <w:p w14:paraId="2B3592E6" w14:textId="776430EC" w:rsidR="00A20D5D" w:rsidRDefault="00A20D5D" w:rsidP="00A20D5D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the cost of any new components for which approval is sought</w:t>
      </w:r>
      <w:r w:rsidR="0036675F">
        <w:rPr>
          <w:rFonts w:cs="Arial"/>
          <w:sz w:val="20"/>
          <w:szCs w:val="20"/>
          <w:lang w:val="en-AU"/>
        </w:rPr>
        <w:t>.</w:t>
      </w:r>
    </w:p>
    <w:p w14:paraId="25239B9E" w14:textId="77777777" w:rsidR="0036675F" w:rsidRDefault="0036675F" w:rsidP="0036675F">
      <w:pPr>
        <w:spacing w:after="0" w:line="240" w:lineRule="auto"/>
        <w:ind w:left="720"/>
        <w:jc w:val="both"/>
        <w:rPr>
          <w:rFonts w:cs="Arial"/>
          <w:sz w:val="20"/>
          <w:szCs w:val="20"/>
          <w:lang w:val="en-AU"/>
        </w:rPr>
      </w:pPr>
    </w:p>
    <w:p w14:paraId="0A2638F8" w14:textId="03140C7B" w:rsidR="0036675F" w:rsidRDefault="0036675F" w:rsidP="0036675F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All completed Requests must be submitted to the KA National Office.</w:t>
      </w:r>
    </w:p>
    <w:p w14:paraId="57AF94E6" w14:textId="77777777" w:rsidR="0036675F" w:rsidRDefault="0036675F" w:rsidP="0036675F">
      <w:pPr>
        <w:spacing w:after="0" w:line="240" w:lineRule="auto"/>
        <w:jc w:val="both"/>
        <w:rPr>
          <w:rFonts w:cs="Arial"/>
          <w:sz w:val="20"/>
          <w:szCs w:val="20"/>
          <w:lang w:val="en-AU"/>
        </w:rPr>
      </w:pPr>
    </w:p>
    <w:p w14:paraId="6215CD05" w14:textId="7817DE1C" w:rsidR="0036675F" w:rsidRPr="00150B93" w:rsidRDefault="0036675F" w:rsidP="0036675F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  <w:sz w:val="20"/>
          <w:szCs w:val="20"/>
          <w:lang w:val="en-AU"/>
        </w:rPr>
      </w:pPr>
      <w:r w:rsidRPr="00150B93">
        <w:rPr>
          <w:rFonts w:cs="Arial"/>
          <w:b/>
          <w:sz w:val="20"/>
          <w:szCs w:val="20"/>
          <w:lang w:val="en-AU"/>
        </w:rPr>
        <w:t xml:space="preserve">Requests for the following year should be submitted by no later than </w:t>
      </w:r>
      <w:r w:rsidRPr="00E2377E">
        <w:rPr>
          <w:rFonts w:cs="Arial"/>
          <w:b/>
          <w:color w:val="FF0000"/>
          <w:sz w:val="20"/>
          <w:szCs w:val="20"/>
          <w:lang w:val="en-AU"/>
        </w:rPr>
        <w:t xml:space="preserve">30 </w:t>
      </w:r>
      <w:r w:rsidR="00E2377E" w:rsidRPr="00E2377E">
        <w:rPr>
          <w:rFonts w:cs="Arial"/>
          <w:b/>
          <w:color w:val="FF0000"/>
          <w:sz w:val="20"/>
          <w:szCs w:val="20"/>
          <w:lang w:val="en-AU"/>
        </w:rPr>
        <w:t>May</w:t>
      </w:r>
      <w:r w:rsidRPr="00E2377E">
        <w:rPr>
          <w:rFonts w:cs="Arial"/>
          <w:b/>
          <w:color w:val="FF0000"/>
          <w:sz w:val="20"/>
          <w:szCs w:val="20"/>
          <w:lang w:val="en-AU"/>
        </w:rPr>
        <w:t xml:space="preserve"> </w:t>
      </w:r>
      <w:r w:rsidRPr="00150B93">
        <w:rPr>
          <w:rFonts w:cs="Arial"/>
          <w:b/>
          <w:sz w:val="20"/>
          <w:szCs w:val="20"/>
          <w:lang w:val="en-AU"/>
        </w:rPr>
        <w:t xml:space="preserve">in any year. </w:t>
      </w:r>
    </w:p>
    <w:p w14:paraId="4035BA80" w14:textId="2126EEBF" w:rsidR="0036675F" w:rsidRPr="0036675F" w:rsidRDefault="0036675F" w:rsidP="0036675F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TheMix-B2ExtraLight"/>
          <w:sz w:val="20"/>
          <w:szCs w:val="20"/>
        </w:rPr>
        <w:t>I</w:t>
      </w:r>
      <w:r w:rsidRPr="00C466BB">
        <w:rPr>
          <w:rFonts w:cs="TheMix-B2ExtraLight"/>
          <w:sz w:val="20"/>
          <w:szCs w:val="20"/>
        </w:rPr>
        <w:t>ssues of safety, pending force maj</w:t>
      </w:r>
      <w:r>
        <w:rPr>
          <w:rFonts w:cs="TheMix-B2ExtraLight"/>
          <w:sz w:val="20"/>
          <w:szCs w:val="20"/>
        </w:rPr>
        <w:t>eure</w:t>
      </w:r>
      <w:r w:rsidR="00150B93">
        <w:rPr>
          <w:rFonts w:cs="TheMix-B2ExtraLight"/>
          <w:sz w:val="20"/>
          <w:szCs w:val="20"/>
        </w:rPr>
        <w:t>, force majeure, compliance with laws</w:t>
      </w:r>
      <w:r>
        <w:rPr>
          <w:rFonts w:cs="TheMix-B2ExtraLight"/>
          <w:sz w:val="20"/>
          <w:szCs w:val="20"/>
        </w:rPr>
        <w:t xml:space="preserve"> or compelling supply difficulties may at the discretion of the Board be dealt with on short notice.</w:t>
      </w:r>
    </w:p>
    <w:p w14:paraId="653DACA0" w14:textId="3ABC7A8F" w:rsidR="0036675F" w:rsidRPr="0036675F" w:rsidRDefault="0036675F" w:rsidP="0036675F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TheMix-B2ExtraLight"/>
          <w:sz w:val="20"/>
          <w:szCs w:val="20"/>
        </w:rPr>
        <w:t>The Board has absolute discretion to determi</w:t>
      </w:r>
      <w:r w:rsidR="003556AC">
        <w:rPr>
          <w:rFonts w:cs="TheMix-B2ExtraLight"/>
          <w:sz w:val="20"/>
          <w:szCs w:val="20"/>
        </w:rPr>
        <w:t>ne and implement</w:t>
      </w:r>
      <w:r w:rsidR="00150B93">
        <w:rPr>
          <w:rFonts w:cs="TheMix-B2ExtraLight"/>
          <w:sz w:val="20"/>
          <w:szCs w:val="20"/>
        </w:rPr>
        <w:t xml:space="preserve"> any Rule change or new R</w:t>
      </w:r>
      <w:r>
        <w:rPr>
          <w:rFonts w:cs="TheMix-B2ExtraLight"/>
          <w:sz w:val="20"/>
          <w:szCs w:val="20"/>
        </w:rPr>
        <w:t>ule at any time in the interests of the sport of karting</w:t>
      </w:r>
      <w:r w:rsidR="003556AC">
        <w:rPr>
          <w:rFonts w:cs="TheMix-B2ExtraLight"/>
          <w:sz w:val="20"/>
          <w:szCs w:val="20"/>
        </w:rPr>
        <w:t>, including, when time is of the essence making an immediate determination without the need for further referral</w:t>
      </w:r>
      <w:r>
        <w:rPr>
          <w:rFonts w:cs="TheMix-B2ExtraLight"/>
          <w:sz w:val="20"/>
          <w:szCs w:val="20"/>
        </w:rPr>
        <w:t xml:space="preserve">. </w:t>
      </w:r>
    </w:p>
    <w:p w14:paraId="05F02402" w14:textId="77777777" w:rsidR="0036675F" w:rsidRPr="0036675F" w:rsidRDefault="0036675F" w:rsidP="0036675F">
      <w:pPr>
        <w:spacing w:after="0" w:line="240" w:lineRule="auto"/>
        <w:ind w:left="360"/>
        <w:jc w:val="both"/>
        <w:rPr>
          <w:rFonts w:cs="Arial"/>
          <w:sz w:val="20"/>
          <w:szCs w:val="20"/>
          <w:lang w:val="en-AU"/>
        </w:rPr>
      </w:pPr>
    </w:p>
    <w:p w14:paraId="3189D625" w14:textId="45788719" w:rsidR="0036675F" w:rsidRDefault="0010550C" w:rsidP="0036675F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Upon receipt of a completed Request, the KA National Office through the CEO will provide a copy of the Request to the Board for their preliminary consideration.</w:t>
      </w:r>
    </w:p>
    <w:p w14:paraId="0B5CF141" w14:textId="562BC7E4" w:rsidR="00D51067" w:rsidRDefault="0010550C" w:rsidP="0010550C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Should the Board be of the opinion that the concept of the Request has sufficient merit to warrant detailed consideration for inclusion in the KA Manual and Rules</w:t>
      </w:r>
      <w:r w:rsidR="00D51067">
        <w:rPr>
          <w:rFonts w:cs="Arial"/>
          <w:sz w:val="20"/>
          <w:szCs w:val="20"/>
          <w:lang w:val="en-AU"/>
        </w:rPr>
        <w:t>,</w:t>
      </w:r>
      <w:r>
        <w:rPr>
          <w:rFonts w:cs="Arial"/>
          <w:sz w:val="20"/>
          <w:szCs w:val="20"/>
          <w:lang w:val="en-AU"/>
        </w:rPr>
        <w:t xml:space="preserve"> the Request will be forwarded to </w:t>
      </w:r>
      <w:r w:rsidR="00150B93">
        <w:rPr>
          <w:rFonts w:cs="Arial"/>
          <w:sz w:val="20"/>
          <w:szCs w:val="20"/>
          <w:lang w:val="en-AU"/>
        </w:rPr>
        <w:t xml:space="preserve">the </w:t>
      </w:r>
      <w:r>
        <w:rPr>
          <w:rFonts w:cs="Arial"/>
          <w:sz w:val="20"/>
          <w:szCs w:val="20"/>
          <w:lang w:val="en-AU"/>
        </w:rPr>
        <w:t>appropriate Key National Official</w:t>
      </w:r>
      <w:r w:rsidR="00150B93">
        <w:rPr>
          <w:rFonts w:cs="Arial"/>
          <w:sz w:val="20"/>
          <w:szCs w:val="20"/>
          <w:lang w:val="en-AU"/>
        </w:rPr>
        <w:t>/s</w:t>
      </w:r>
      <w:r>
        <w:rPr>
          <w:rFonts w:cs="Arial"/>
          <w:sz w:val="20"/>
          <w:szCs w:val="20"/>
          <w:lang w:val="en-AU"/>
        </w:rPr>
        <w:t xml:space="preserve"> so as to enable full evaluation of the Request by the relevant National Com</w:t>
      </w:r>
      <w:bookmarkStart w:id="0" w:name="_GoBack"/>
      <w:bookmarkEnd w:id="0"/>
      <w:r>
        <w:rPr>
          <w:rFonts w:cs="Arial"/>
          <w:sz w:val="20"/>
          <w:szCs w:val="20"/>
          <w:lang w:val="en-AU"/>
        </w:rPr>
        <w:t xml:space="preserve">mittee. </w:t>
      </w:r>
    </w:p>
    <w:p w14:paraId="336504DE" w14:textId="07A00C7B" w:rsidR="0010550C" w:rsidRDefault="0010550C" w:rsidP="00D51067">
      <w:pPr>
        <w:spacing w:after="0" w:line="240" w:lineRule="auto"/>
        <w:ind w:left="792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(e.g. A request for a Technical Rule change will be forwarded to the </w:t>
      </w:r>
      <w:r w:rsidR="003556AC">
        <w:rPr>
          <w:rFonts w:cs="Arial"/>
          <w:sz w:val="20"/>
          <w:szCs w:val="20"/>
          <w:lang w:val="en-AU"/>
        </w:rPr>
        <w:t>National Technical Commissioner who will forward it to the National Technical Committee for their detailed consideration.)</w:t>
      </w:r>
    </w:p>
    <w:p w14:paraId="34FA5685" w14:textId="42674269" w:rsidR="003556AC" w:rsidRDefault="003556AC" w:rsidP="0010550C">
      <w:pPr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The National Committee tasked with evaluating the Request will be required to consider the Request and make a recommendation back to the Board as to whether or not the Request should be accepted</w:t>
      </w:r>
      <w:r w:rsidR="00D51067">
        <w:rPr>
          <w:rFonts w:cs="Arial"/>
          <w:sz w:val="20"/>
          <w:szCs w:val="20"/>
          <w:lang w:val="en-AU"/>
        </w:rPr>
        <w:t xml:space="preserve"> as submitted, rejected or accepted in some modified format</w:t>
      </w:r>
      <w:r>
        <w:rPr>
          <w:rFonts w:cs="Arial"/>
          <w:sz w:val="20"/>
          <w:szCs w:val="20"/>
          <w:lang w:val="en-AU"/>
        </w:rPr>
        <w:t>.</w:t>
      </w:r>
    </w:p>
    <w:p w14:paraId="70B29CD6" w14:textId="53ED42EF" w:rsidR="003556AC" w:rsidRDefault="003556AC" w:rsidP="003556AC">
      <w:pPr>
        <w:numPr>
          <w:ilvl w:val="2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The National Committee may make all such inquiries that they feel are necessary (including asking for additional information from the originator of the Request) so as to make a fully informed recommendation to the Board.</w:t>
      </w:r>
    </w:p>
    <w:p w14:paraId="3B4D962D" w14:textId="77777777" w:rsidR="003556AC" w:rsidRDefault="003556AC" w:rsidP="003556AC">
      <w:pPr>
        <w:spacing w:after="0" w:line="240" w:lineRule="auto"/>
        <w:ind w:left="720"/>
        <w:jc w:val="both"/>
        <w:rPr>
          <w:rFonts w:cs="Arial"/>
          <w:sz w:val="20"/>
          <w:szCs w:val="20"/>
          <w:lang w:val="en-AU"/>
        </w:rPr>
      </w:pPr>
    </w:p>
    <w:p w14:paraId="0D24B2D5" w14:textId="58D2DF15" w:rsidR="003556AC" w:rsidRPr="008E0C96" w:rsidRDefault="003556AC" w:rsidP="003556AC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A Request will only ever become a KA Rule following review, consideration and ratification by the Board.</w:t>
      </w:r>
    </w:p>
    <w:p w14:paraId="41F7E354" w14:textId="68B27FFA" w:rsidR="00A20D5D" w:rsidRDefault="00A20D5D" w:rsidP="008E0C96">
      <w:pPr>
        <w:jc w:val="both"/>
        <w:rPr>
          <w:rFonts w:cs="Arial"/>
          <w:sz w:val="20"/>
          <w:szCs w:val="20"/>
        </w:rPr>
      </w:pPr>
    </w:p>
    <w:p w14:paraId="189755E5" w14:textId="77777777" w:rsidR="007B03C3" w:rsidRPr="008E0C96" w:rsidRDefault="007B03C3" w:rsidP="008E0C96">
      <w:pPr>
        <w:pStyle w:val="Heading1"/>
        <w:spacing w:before="360"/>
        <w:jc w:val="both"/>
        <w:rPr>
          <w:rFonts w:asciiTheme="minorHAnsi" w:hAnsiTheme="minorHAnsi" w:cs="Arial"/>
          <w:color w:val="006600"/>
          <w:spacing w:val="0"/>
          <w:sz w:val="22"/>
          <w:szCs w:val="22"/>
          <w:lang w:val="en-AU"/>
        </w:rPr>
      </w:pPr>
      <w:bookmarkStart w:id="1" w:name="_Toc378700020"/>
      <w:r w:rsidRPr="008E0C96">
        <w:rPr>
          <w:rFonts w:asciiTheme="minorHAnsi" w:hAnsiTheme="minorHAnsi" w:cs="Arial"/>
          <w:color w:val="006600"/>
          <w:spacing w:val="0"/>
          <w:sz w:val="22"/>
          <w:szCs w:val="22"/>
          <w:lang w:val="en-AU"/>
        </w:rPr>
        <w:t>Related Policies</w:t>
      </w:r>
      <w:bookmarkEnd w:id="1"/>
    </w:p>
    <w:p w14:paraId="00C6F40F" w14:textId="00BEAA2B" w:rsidR="007B03C3" w:rsidRPr="008E0C96" w:rsidRDefault="00E205D8" w:rsidP="008E0C96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Homologation</w:t>
      </w:r>
      <w:r w:rsidR="007B03C3" w:rsidRPr="008E0C96">
        <w:rPr>
          <w:sz w:val="20"/>
          <w:szCs w:val="20"/>
        </w:rPr>
        <w:t xml:space="preserve"> Policy</w:t>
      </w:r>
    </w:p>
    <w:p w14:paraId="2FF28A25" w14:textId="77777777" w:rsidR="007B03C3" w:rsidRPr="008E0C96" w:rsidRDefault="007B03C3" w:rsidP="008E0C96">
      <w:pPr>
        <w:pStyle w:val="Heading1"/>
        <w:spacing w:before="360"/>
        <w:jc w:val="both"/>
        <w:rPr>
          <w:rFonts w:asciiTheme="minorHAnsi" w:hAnsiTheme="minorHAnsi" w:cs="Arial"/>
          <w:color w:val="006600"/>
          <w:spacing w:val="0"/>
          <w:sz w:val="22"/>
          <w:szCs w:val="22"/>
          <w:lang w:val="en-AU"/>
        </w:rPr>
      </w:pPr>
      <w:bookmarkStart w:id="2" w:name="_Toc378700021"/>
      <w:r w:rsidRPr="008E0C96">
        <w:rPr>
          <w:rFonts w:asciiTheme="minorHAnsi" w:hAnsiTheme="minorHAnsi" w:cs="Arial"/>
          <w:color w:val="006600"/>
          <w:spacing w:val="0"/>
          <w:sz w:val="22"/>
          <w:szCs w:val="22"/>
          <w:lang w:val="en-AU"/>
        </w:rPr>
        <w:t>Other Links and References</w:t>
      </w:r>
      <w:bookmarkEnd w:id="2"/>
    </w:p>
    <w:p w14:paraId="02D3DF36" w14:textId="2C6C29B1" w:rsidR="00E6366A" w:rsidRPr="00E2377E" w:rsidRDefault="00E205D8" w:rsidP="00E2377E">
      <w:pPr>
        <w:numPr>
          <w:ilvl w:val="0"/>
          <w:numId w:val="9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New Rule / Rule Change</w:t>
      </w:r>
      <w:r w:rsidR="00BD77C3">
        <w:rPr>
          <w:sz w:val="20"/>
          <w:szCs w:val="20"/>
        </w:rPr>
        <w:t xml:space="preserve"> Request</w:t>
      </w:r>
      <w:r w:rsidR="007B03C3" w:rsidRPr="008E0C96">
        <w:rPr>
          <w:sz w:val="20"/>
          <w:szCs w:val="20"/>
        </w:rPr>
        <w:t xml:space="preserve"> Form</w:t>
      </w:r>
    </w:p>
    <w:p w14:paraId="1E2D4A5E" w14:textId="77777777" w:rsidR="00E6366A" w:rsidRPr="00E6366A" w:rsidRDefault="00E6366A" w:rsidP="00E6366A">
      <w:pPr>
        <w:pBdr>
          <w:top w:val="single" w:sz="4" w:space="1" w:color="auto"/>
        </w:pBdr>
        <w:spacing w:before="34"/>
        <w:ind w:right="221"/>
        <w:jc w:val="both"/>
        <w:rPr>
          <w:rFonts w:eastAsia="Arial" w:cs="Arial"/>
          <w:color w:val="006600"/>
        </w:rPr>
      </w:pPr>
      <w:r w:rsidRPr="00E6366A">
        <w:rPr>
          <w:rFonts w:eastAsia="Arial" w:cs="Arial"/>
          <w:b/>
          <w:color w:val="006600"/>
          <w:spacing w:val="-1"/>
        </w:rPr>
        <w:t>P</w:t>
      </w:r>
      <w:r w:rsidRPr="00E6366A">
        <w:rPr>
          <w:rFonts w:eastAsia="Arial" w:cs="Arial"/>
          <w:b/>
          <w:color w:val="006600"/>
        </w:rPr>
        <w:t>oli</w:t>
      </w:r>
      <w:r w:rsidRPr="00E6366A">
        <w:rPr>
          <w:rFonts w:eastAsia="Arial" w:cs="Arial"/>
          <w:b/>
          <w:color w:val="006600"/>
          <w:spacing w:val="1"/>
        </w:rPr>
        <w:t>c</w:t>
      </w:r>
      <w:r w:rsidRPr="00E6366A">
        <w:rPr>
          <w:rFonts w:eastAsia="Arial" w:cs="Arial"/>
          <w:b/>
          <w:color w:val="006600"/>
        </w:rPr>
        <w:t>y</w:t>
      </w:r>
      <w:r w:rsidRPr="00E6366A">
        <w:rPr>
          <w:rFonts w:eastAsia="Arial" w:cs="Arial"/>
          <w:b/>
          <w:color w:val="006600"/>
          <w:spacing w:val="-6"/>
        </w:rPr>
        <w:t xml:space="preserve"> </w:t>
      </w:r>
      <w:r w:rsidRPr="00E6366A">
        <w:rPr>
          <w:rFonts w:eastAsia="Arial" w:cs="Arial"/>
          <w:b/>
          <w:color w:val="006600"/>
          <w:spacing w:val="4"/>
        </w:rPr>
        <w:t>M</w:t>
      </w:r>
      <w:r w:rsidRPr="00E6366A">
        <w:rPr>
          <w:rFonts w:eastAsia="Arial" w:cs="Arial"/>
          <w:b/>
          <w:color w:val="006600"/>
        </w:rPr>
        <w:t>anager</w:t>
      </w:r>
    </w:p>
    <w:p w14:paraId="52C4E0DD" w14:textId="55BDDDD1" w:rsidR="00F078A7" w:rsidRDefault="00E6366A" w:rsidP="00E205D8">
      <w:pPr>
        <w:spacing w:before="3"/>
        <w:ind w:right="221"/>
        <w:jc w:val="both"/>
        <w:rPr>
          <w:rFonts w:eastAsia="Arial" w:cs="Arial"/>
          <w:spacing w:val="11"/>
        </w:rPr>
      </w:pPr>
      <w:r w:rsidRPr="00E6366A">
        <w:rPr>
          <w:rFonts w:eastAsia="Arial" w:cs="Arial"/>
        </w:rPr>
        <w:t>M</w:t>
      </w:r>
      <w:r w:rsidRPr="00E6366A">
        <w:rPr>
          <w:rFonts w:eastAsia="Arial" w:cs="Arial"/>
          <w:spacing w:val="-1"/>
        </w:rPr>
        <w:t>a</w:t>
      </w:r>
      <w:r w:rsidRPr="00E6366A">
        <w:rPr>
          <w:rFonts w:eastAsia="Arial" w:cs="Arial"/>
        </w:rPr>
        <w:t>n</w:t>
      </w:r>
      <w:r w:rsidRPr="00E6366A">
        <w:rPr>
          <w:rFonts w:eastAsia="Arial" w:cs="Arial"/>
          <w:spacing w:val="1"/>
        </w:rPr>
        <w:t>a</w:t>
      </w:r>
      <w:r w:rsidRPr="00E6366A">
        <w:rPr>
          <w:rFonts w:eastAsia="Arial" w:cs="Arial"/>
        </w:rPr>
        <w:t>g</w:t>
      </w:r>
      <w:r w:rsidRPr="00E6366A">
        <w:rPr>
          <w:rFonts w:eastAsia="Arial" w:cs="Arial"/>
          <w:spacing w:val="-1"/>
        </w:rPr>
        <w:t>e</w:t>
      </w:r>
      <w:r w:rsidRPr="00E6366A">
        <w:rPr>
          <w:rFonts w:eastAsia="Arial" w:cs="Arial"/>
        </w:rPr>
        <w:t>r</w:t>
      </w:r>
      <w:r w:rsidRPr="00E6366A">
        <w:rPr>
          <w:rFonts w:eastAsia="Arial" w:cs="Arial"/>
          <w:spacing w:val="-7"/>
        </w:rPr>
        <w:t xml:space="preserve"> </w:t>
      </w:r>
      <w:r w:rsidRPr="00E6366A">
        <w:rPr>
          <w:rFonts w:eastAsia="Arial" w:cs="Arial"/>
        </w:rPr>
        <w:t>–</w:t>
      </w:r>
      <w:r w:rsidRPr="00E6366A">
        <w:rPr>
          <w:rFonts w:eastAsia="Arial" w:cs="Arial"/>
          <w:spacing w:val="-4"/>
        </w:rPr>
        <w:t xml:space="preserve"> </w:t>
      </w:r>
      <w:r w:rsidRPr="00E6366A">
        <w:rPr>
          <w:rFonts w:eastAsia="Arial" w:cs="Arial"/>
          <w:spacing w:val="11"/>
        </w:rPr>
        <w:t>CEO</w:t>
      </w:r>
    </w:p>
    <w:p w14:paraId="02C835A0" w14:textId="77777777" w:rsidR="00E205D8" w:rsidRDefault="00E205D8" w:rsidP="00E205D8">
      <w:pPr>
        <w:spacing w:before="3"/>
        <w:ind w:right="221"/>
        <w:jc w:val="both"/>
        <w:rPr>
          <w:rFonts w:eastAsia="Arial" w:cs="Arial"/>
          <w:spacing w:val="11"/>
        </w:rPr>
      </w:pPr>
    </w:p>
    <w:p w14:paraId="3E4A03AB" w14:textId="77777777" w:rsidR="00150B93" w:rsidRDefault="00150B93">
      <w:pPr>
        <w:rPr>
          <w:rFonts w:eastAsia="Arial" w:cs="Arial"/>
          <w:spacing w:val="11"/>
        </w:rPr>
      </w:pPr>
      <w:r>
        <w:rPr>
          <w:rFonts w:eastAsia="Arial" w:cs="Arial"/>
          <w:spacing w:val="11"/>
        </w:rPr>
        <w:br w:type="page"/>
      </w:r>
    </w:p>
    <w:p w14:paraId="40567E21" w14:textId="687144D1" w:rsidR="00150B93" w:rsidRDefault="00E2377E" w:rsidP="00E2377E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16"/>
          <w:szCs w:val="16"/>
        </w:rPr>
      </w:pPr>
      <w:r>
        <w:rPr>
          <w:rFonts w:cs="TheMix-B2ExtraLight"/>
          <w:sz w:val="16"/>
          <w:szCs w:val="16"/>
        </w:rPr>
        <w:t>I</w:t>
      </w:r>
      <w:r w:rsidR="00150B93" w:rsidRPr="00FA4EA3">
        <w:rPr>
          <w:rFonts w:cs="TheMix-B2ExtraLight"/>
          <w:sz w:val="16"/>
          <w:szCs w:val="16"/>
        </w:rPr>
        <w:t>t is the intention</w:t>
      </w:r>
      <w:r w:rsidR="00150B93">
        <w:rPr>
          <w:rFonts w:cs="TheMix-B2ExtraLight"/>
          <w:sz w:val="16"/>
          <w:szCs w:val="16"/>
        </w:rPr>
        <w:t xml:space="preserve"> of the Karting Australia Board</w:t>
      </w:r>
      <w:r w:rsidR="00150B93" w:rsidRPr="00FA4EA3">
        <w:rPr>
          <w:rFonts w:cs="TheMix-B2ExtraLight"/>
          <w:sz w:val="16"/>
          <w:szCs w:val="16"/>
        </w:rPr>
        <w:t xml:space="preserve"> to provide stability of regulations and to restrict changes to the </w:t>
      </w:r>
      <w:r w:rsidR="00150B93">
        <w:rPr>
          <w:rFonts w:cs="TheMix-B2ExtraLight"/>
          <w:sz w:val="16"/>
          <w:szCs w:val="16"/>
        </w:rPr>
        <w:t xml:space="preserve">KA </w:t>
      </w:r>
      <w:r w:rsidR="00150B93" w:rsidRPr="00FA4EA3">
        <w:rPr>
          <w:rFonts w:cs="TheMix-B2ExtraLight"/>
          <w:sz w:val="16"/>
          <w:szCs w:val="16"/>
        </w:rPr>
        <w:t xml:space="preserve">Manual </w:t>
      </w:r>
      <w:r w:rsidR="00150B93">
        <w:rPr>
          <w:rFonts w:cs="TheMix-B2ExtraLight"/>
          <w:sz w:val="16"/>
          <w:szCs w:val="16"/>
        </w:rPr>
        <w:t xml:space="preserve">and Rules </w:t>
      </w:r>
      <w:r w:rsidR="00150B93" w:rsidRPr="00FA4EA3">
        <w:rPr>
          <w:rFonts w:cs="TheMix-B2ExtraLight"/>
          <w:sz w:val="16"/>
          <w:szCs w:val="16"/>
        </w:rPr>
        <w:t>to a minimum during any</w:t>
      </w:r>
      <w:r w:rsidR="00150B93">
        <w:rPr>
          <w:rFonts w:cs="TheMix-B2ExtraLight"/>
          <w:sz w:val="16"/>
          <w:szCs w:val="16"/>
        </w:rPr>
        <w:t xml:space="preserve"> competition</w:t>
      </w:r>
      <w:r w:rsidR="00150B93" w:rsidRPr="00FA4EA3">
        <w:rPr>
          <w:rFonts w:cs="TheMix-B2ExtraLight"/>
          <w:sz w:val="16"/>
          <w:szCs w:val="16"/>
        </w:rPr>
        <w:t xml:space="preserve"> year. </w:t>
      </w:r>
      <w:r w:rsidR="00150B93">
        <w:rPr>
          <w:rFonts w:cs="TheMix-B2ExtraLight"/>
          <w:sz w:val="16"/>
          <w:szCs w:val="16"/>
        </w:rPr>
        <w:t xml:space="preserve">As an overriding principle, unless there are issues of safety, pending force majeure, </w:t>
      </w:r>
      <w:r w:rsidR="00F26861">
        <w:rPr>
          <w:rFonts w:cs="TheMix-B2ExtraLight"/>
          <w:sz w:val="16"/>
          <w:szCs w:val="16"/>
        </w:rPr>
        <w:t xml:space="preserve">force majeure, </w:t>
      </w:r>
      <w:r>
        <w:rPr>
          <w:rFonts w:cs="TheMix-B2ExtraLight"/>
          <w:sz w:val="16"/>
          <w:szCs w:val="16"/>
        </w:rPr>
        <w:t>and compliance</w:t>
      </w:r>
      <w:r w:rsidR="00150B93">
        <w:rPr>
          <w:rFonts w:cs="TheMix-B2ExtraLight"/>
          <w:sz w:val="16"/>
          <w:szCs w:val="16"/>
        </w:rPr>
        <w:t xml:space="preserve"> with laws or compelling supply issues, rules will not generally be the subject of change at any time other than for the commencement of a competition year.</w:t>
      </w:r>
    </w:p>
    <w:p w14:paraId="51318431" w14:textId="77777777" w:rsidR="00150B93" w:rsidRDefault="00150B93" w:rsidP="00E2377E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16"/>
          <w:szCs w:val="16"/>
        </w:rPr>
      </w:pPr>
    </w:p>
    <w:p w14:paraId="73A91B39" w14:textId="77777777" w:rsidR="00150B93" w:rsidRDefault="00150B93" w:rsidP="00E2377E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sz w:val="16"/>
          <w:szCs w:val="16"/>
        </w:rPr>
      </w:pPr>
      <w:r>
        <w:rPr>
          <w:rFonts w:cs="TheMix-B2ExtraLight"/>
          <w:sz w:val="16"/>
          <w:szCs w:val="16"/>
        </w:rPr>
        <w:t>State and Territory Associations, major Industry Suppliers and Key National Officials who wish to bring a proposal before Karting Australia for either a new rule or a change of rule should do so using this form. This does not apply to homologation, re-homologation and component evolutions.</w:t>
      </w:r>
    </w:p>
    <w:p w14:paraId="3986483A" w14:textId="77777777" w:rsidR="00150B93" w:rsidRDefault="00150B93" w:rsidP="00150B9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b/>
          <w:sz w:val="16"/>
          <w:szCs w:val="16"/>
        </w:rPr>
      </w:pPr>
      <w:r>
        <w:rPr>
          <w:rFonts w:cs="TheMix-B2ExtraLight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C370E5" wp14:editId="5ECED4D0">
                <wp:simplePos x="0" y="0"/>
                <wp:positionH relativeFrom="column">
                  <wp:posOffset>4459406</wp:posOffset>
                </wp:positionH>
                <wp:positionV relativeFrom="paragraph">
                  <wp:posOffset>73651</wp:posOffset>
                </wp:positionV>
                <wp:extent cx="1767385" cy="232011"/>
                <wp:effectExtent l="0" t="0" r="2349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232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21A3E" id="Rectangle 3" o:spid="_x0000_s1026" style="position:absolute;margin-left:351.15pt;margin-top:5.8pt;width:139.15pt;height:18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eHewIAABUFAAAOAAAAZHJzL2Uyb0RvYy54bWysVE1PGzEQvVfqf7B8L5sPIHTFBkWgVJUQ&#10;oELFefB6k5X8VdvJJv31ffYuEKCnqnvwznjGM543b3x+sdOKbaUPrTUVHx+NOJNG2Lo1q4r/fFh+&#10;OeMsRDI1KWtkxfcy8Iv550/nnSvlxK6tqqVnCGJC2bmKr2N0ZVEEsZaawpF10sDYWK8pQvWrovbU&#10;IbpWxWQ0Oi0662vnrZAhYPeqN/J5jt80UsTbpgkyMlVx3C3m1ef1Ka3F/JzKlSe3bsVwDfqHW2hq&#10;DZK+hLqiSGzj2w+hdCu8DbaJR8LqwjZNK2SuAdWMR++quV+Tk7kWgBPcC0zh/4UVN9s7z9q64lPO&#10;DGm06AdAI7NSkk0TPJ0LJbzu3Z0ftAAx1bprvE5/VMF2GdL9C6RyF5nA5nh2OpuenXAmYJtMUeQ4&#10;BS1eTzsf4jdpNUtCxT2yZyRpex1i7/rskpIFq9p62SqVlX24VJ5tCd0FKWrbcaYoRGxWfJm/Idub&#10;Y8qwDlebzEaghCDQrlEUIWoHIIJZcUZqBT6L6PNd3pwOH5I+oNqDxKP8/S1xKuSKwrq/cY6a3KjU&#10;bcQYqFZX/OzwtDLJKjORBzhSP/oOJOnJ1ns00Nue2cGJZYsk1wDhjjyojAoxnvEWS6MsyraDxNna&#10;+t9/20/+YBisnHUYDUDya0NeosTvBtz7Oj4+TrOUleOT2QSKP7Q8HVrMRl9a9GeMh8CJLCb/qJ7F&#10;xlv9iClepKwwkRHI3YM/KJexH1m8A0IuFtkN8+MoXpt7J1LwhFOC92H3SN4NZIpozI19HiMq33Gq&#10;900njV1som3aTLhXXEHUpGD2MmWHdyIN96GevV5fs/kfAAAA//8DAFBLAwQUAAYACAAAACEAnHkq&#10;kd4AAAAJAQAADwAAAGRycy9kb3ducmV2LnhtbEyPTUvEMBCG74L/IYzgzU26ytqtTRcRBBE8WD/O&#10;2WZsyjaT0qTdur/e8aS3Gd6Hd54pd4vvxYxj7AJpyFYKBFITbEethve3x6scREyGrOkDoYZvjLCr&#10;zs9KU9hwpFec69QKLqFYGA0upaGQMjYOvYmrMCBx9hVGbxKvYyvtaI5c7nu5VmojvemILzgz4IPD&#10;5lBPXsNzPE1zY+PL4hb3tP34VKeaDlpfXiz3dyASLukPhl99VoeKnfZhIhtFr+FWra8Z5SDbgGBg&#10;myse9hpu8gxkVcr/H1Q/AAAA//8DAFBLAQItABQABgAIAAAAIQC2gziS/gAAAOEBAAATAAAAAAAA&#10;AAAAAAAAAAAAAABbQ29udGVudF9UeXBlc10ueG1sUEsBAi0AFAAGAAgAAAAhADj9If/WAAAAlAEA&#10;AAsAAAAAAAAAAAAAAAAALwEAAF9yZWxzLy5yZWxzUEsBAi0AFAAGAAgAAAAhAIRP94d7AgAAFQUA&#10;AA4AAAAAAAAAAAAAAAAALgIAAGRycy9lMm9Eb2MueG1sUEsBAi0AFAAGAAgAAAAhAJx5KpHeAAAA&#10;CQEAAA8AAAAAAAAAAAAAAAAA1QQAAGRycy9kb3ducmV2LnhtbFBLBQYAAAAABAAEAPMAAADgBQAA&#10;AAA=&#10;" fillcolor="window" strokecolor="windowText" strokeweight="1pt"/>
            </w:pict>
          </mc:Fallback>
        </mc:AlternateContent>
      </w:r>
    </w:p>
    <w:p w14:paraId="6F8DAFE9" w14:textId="6744BC20" w:rsidR="00150B93" w:rsidRPr="00486CED" w:rsidRDefault="00150B93" w:rsidP="00150B9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b/>
          <w:sz w:val="20"/>
          <w:szCs w:val="20"/>
        </w:rPr>
      </w:pPr>
      <w:r w:rsidRPr="00B87134">
        <w:rPr>
          <w:rFonts w:cs="TheMix-B2ExtraLight"/>
          <w:b/>
          <w:color w:val="FF0000"/>
        </w:rPr>
        <w:t>Applications should be su</w:t>
      </w:r>
      <w:r w:rsidR="00E2377E" w:rsidRPr="00B87134">
        <w:rPr>
          <w:rFonts w:cs="TheMix-B2ExtraLight"/>
          <w:b/>
          <w:color w:val="FF0000"/>
        </w:rPr>
        <w:t>bmitted by no later than 30 May</w:t>
      </w:r>
      <w:r w:rsidRPr="00B87134">
        <w:rPr>
          <w:rFonts w:cs="TheMix-B2ExtraLight"/>
          <w:b/>
          <w:color w:val="FF0000"/>
        </w:rPr>
        <w:t xml:space="preserve"> each year.</w:t>
      </w:r>
      <w:r w:rsidRPr="00B87134">
        <w:rPr>
          <w:rFonts w:cs="TheMix-B2ExtraLight"/>
          <w:b/>
          <w:color w:val="FF0000"/>
          <w:sz w:val="16"/>
          <w:szCs w:val="16"/>
        </w:rPr>
        <w:t xml:space="preserve"> </w:t>
      </w:r>
      <w:r>
        <w:rPr>
          <w:rFonts w:cs="TheMix-B2ExtraLight"/>
          <w:b/>
          <w:sz w:val="16"/>
          <w:szCs w:val="16"/>
        </w:rPr>
        <w:tab/>
      </w:r>
      <w:r>
        <w:rPr>
          <w:rFonts w:cs="TheMix-B2ExtraLight"/>
          <w:b/>
          <w:sz w:val="16"/>
          <w:szCs w:val="16"/>
        </w:rPr>
        <w:tab/>
      </w:r>
      <w:r>
        <w:rPr>
          <w:rFonts w:cs="TheMix-B2ExtraLight"/>
          <w:b/>
          <w:sz w:val="16"/>
          <w:szCs w:val="16"/>
        </w:rPr>
        <w:tab/>
      </w:r>
      <w:r>
        <w:rPr>
          <w:rFonts w:cs="TheMix-B2ExtraLight"/>
          <w:b/>
          <w:sz w:val="20"/>
          <w:szCs w:val="20"/>
        </w:rPr>
        <w:t xml:space="preserve">Date </w:t>
      </w:r>
    </w:p>
    <w:p w14:paraId="29A26B7E" w14:textId="77777777" w:rsidR="00150B93" w:rsidRPr="00486CED" w:rsidRDefault="00150B93" w:rsidP="00150B93">
      <w:pPr>
        <w:autoSpaceDE w:val="0"/>
        <w:autoSpaceDN w:val="0"/>
        <w:adjustRightInd w:val="0"/>
        <w:spacing w:after="0" w:line="240" w:lineRule="auto"/>
        <w:jc w:val="both"/>
        <w:rPr>
          <w:rFonts w:cs="TheMix-B2ExtraLight"/>
          <w:b/>
          <w:sz w:val="16"/>
          <w:szCs w:val="16"/>
        </w:rPr>
      </w:pPr>
    </w:p>
    <w:p w14:paraId="57027F56" w14:textId="77777777" w:rsidR="00150B93" w:rsidRPr="00F22478" w:rsidRDefault="00150B93" w:rsidP="00150B93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NEW RULE / </w:t>
      </w:r>
      <w:r w:rsidRPr="00F22478">
        <w:rPr>
          <w:b/>
          <w:sz w:val="28"/>
          <w:szCs w:val="28"/>
          <w:lang w:val="en-AU"/>
        </w:rPr>
        <w:t>RULE CHANGE REQUEST FORM</w:t>
      </w: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950"/>
        <w:gridCol w:w="313"/>
        <w:gridCol w:w="1707"/>
        <w:gridCol w:w="1984"/>
        <w:gridCol w:w="420"/>
        <w:gridCol w:w="1067"/>
        <w:gridCol w:w="498"/>
        <w:gridCol w:w="2126"/>
      </w:tblGrid>
      <w:tr w:rsidR="00150B93" w:rsidRPr="00F22478" w14:paraId="36C3795B" w14:textId="77777777" w:rsidTr="00D10F7D">
        <w:trPr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15DBF9C9" w14:textId="77777777" w:rsidR="00150B93" w:rsidRPr="00F22478" w:rsidRDefault="00150B93" w:rsidP="00D10F7D">
            <w:pPr>
              <w:rPr>
                <w:lang w:val="en-AU"/>
              </w:rPr>
            </w:pPr>
            <w:r>
              <w:rPr>
                <w:b/>
                <w:lang w:val="en-AU"/>
              </w:rPr>
              <w:t>Name of Person Submitting Request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30A4AF1" w14:textId="77777777" w:rsidR="00150B93" w:rsidRPr="00F22478" w:rsidRDefault="00150B93" w:rsidP="00D10F7D">
            <w:pPr>
              <w:jc w:val="center"/>
              <w:rPr>
                <w:lang w:val="en-A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CE9DEDC" w14:textId="77777777" w:rsidR="00150B93" w:rsidRDefault="00150B93" w:rsidP="00D10F7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State /</w:t>
            </w:r>
          </w:p>
          <w:p w14:paraId="23177990" w14:textId="77777777" w:rsidR="00150B93" w:rsidRPr="00F22478" w:rsidRDefault="00150B93" w:rsidP="00D10F7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Position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</w:tcPr>
          <w:p w14:paraId="569F4268" w14:textId="77777777" w:rsidR="00150B93" w:rsidRPr="00F22478" w:rsidRDefault="00150B93" w:rsidP="00D10F7D">
            <w:pPr>
              <w:jc w:val="center"/>
              <w:rPr>
                <w:lang w:val="en-AU"/>
              </w:rPr>
            </w:pPr>
          </w:p>
        </w:tc>
      </w:tr>
      <w:tr w:rsidR="00150B93" w:rsidRPr="00F22478" w14:paraId="31E6FCFE" w14:textId="77777777" w:rsidTr="00D10F7D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</w:tcPr>
          <w:p w14:paraId="04136F47" w14:textId="77777777" w:rsidR="00150B93" w:rsidRPr="00F22478" w:rsidRDefault="00150B93" w:rsidP="00D10F7D">
            <w:pPr>
              <w:rPr>
                <w:b/>
                <w:lang w:val="en-AU"/>
              </w:rPr>
            </w:pPr>
            <w:r w:rsidRPr="00F22478">
              <w:rPr>
                <w:b/>
                <w:lang w:val="en-AU"/>
              </w:rPr>
              <w:t>Rule Type</w:t>
            </w:r>
            <w:r>
              <w:rPr>
                <w:b/>
                <w:lang w:val="en-AU"/>
              </w:rPr>
              <w:t xml:space="preserve"> </w:t>
            </w:r>
            <w:r w:rsidRPr="00F22478">
              <w:rPr>
                <w:sz w:val="20"/>
                <w:szCs w:val="20"/>
                <w:lang w:val="en-AU"/>
              </w:rPr>
              <w:t>(Delete)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14:paraId="78A0BAC0" w14:textId="77777777" w:rsidR="00150B93" w:rsidRPr="00F22478" w:rsidRDefault="00150B93" w:rsidP="00D10F7D">
            <w:pPr>
              <w:jc w:val="center"/>
              <w:rPr>
                <w:lang w:val="en-AU"/>
              </w:rPr>
            </w:pPr>
            <w:r w:rsidRPr="00F22478">
              <w:rPr>
                <w:lang w:val="en-AU"/>
              </w:rPr>
              <w:t>General Regulations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294E49" w14:textId="77777777" w:rsidR="00150B93" w:rsidRPr="00F22478" w:rsidRDefault="00150B93" w:rsidP="00D10F7D">
            <w:pPr>
              <w:jc w:val="center"/>
              <w:rPr>
                <w:lang w:val="en-AU"/>
              </w:rPr>
            </w:pPr>
            <w:r w:rsidRPr="00F22478">
              <w:rPr>
                <w:lang w:val="en-AU"/>
              </w:rPr>
              <w:t>Competition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50AD2E25" w14:textId="77777777" w:rsidR="00150B93" w:rsidRPr="00F22478" w:rsidRDefault="00150B93" w:rsidP="00D10F7D">
            <w:pPr>
              <w:jc w:val="center"/>
              <w:rPr>
                <w:lang w:val="en-AU"/>
              </w:rPr>
            </w:pPr>
            <w:r w:rsidRPr="00F22478">
              <w:rPr>
                <w:lang w:val="en-AU"/>
              </w:rPr>
              <w:t>Technical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D0234D" w14:textId="77777777" w:rsidR="00150B93" w:rsidRPr="00F22478" w:rsidRDefault="00150B93" w:rsidP="00D10F7D">
            <w:pPr>
              <w:jc w:val="center"/>
              <w:rPr>
                <w:lang w:val="en-AU"/>
              </w:rPr>
            </w:pPr>
            <w:r w:rsidRPr="00F22478">
              <w:rPr>
                <w:lang w:val="en-AU"/>
              </w:rPr>
              <w:t>Competition Classes</w:t>
            </w:r>
          </w:p>
        </w:tc>
      </w:tr>
      <w:tr w:rsidR="00150B93" w14:paraId="156E90F7" w14:textId="77777777" w:rsidTr="00D10F7D">
        <w:trPr>
          <w:jc w:val="center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058462B6" w14:textId="77777777" w:rsidR="00150B93" w:rsidRDefault="00150B93" w:rsidP="00D10F7D">
            <w:pPr>
              <w:rPr>
                <w:lang w:val="en-AU"/>
              </w:rPr>
            </w:pPr>
            <w:r w:rsidRPr="00987A54">
              <w:rPr>
                <w:b/>
                <w:lang w:val="en-AU"/>
              </w:rPr>
              <w:t>Rule Number</w:t>
            </w:r>
            <w:r>
              <w:rPr>
                <w:lang w:val="en-AU"/>
              </w:rPr>
              <w:t xml:space="preserve"> (If change to existing rules)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14:paraId="42CB89B4" w14:textId="77777777" w:rsidR="00150B93" w:rsidRDefault="00150B93" w:rsidP="00D10F7D">
            <w:pPr>
              <w:rPr>
                <w:lang w:val="en-AU"/>
              </w:rPr>
            </w:pPr>
          </w:p>
        </w:tc>
      </w:tr>
      <w:tr w:rsidR="00150B93" w:rsidRPr="00987A54" w14:paraId="24FAE916" w14:textId="77777777" w:rsidTr="00D10F7D">
        <w:trPr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0DA6" w14:textId="77777777" w:rsidR="00150B93" w:rsidRPr="00987A54" w:rsidRDefault="00150B93" w:rsidP="00D10F7D">
            <w:pPr>
              <w:rPr>
                <w:sz w:val="8"/>
                <w:szCs w:val="8"/>
                <w:lang w:val="en-AU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482CE" w14:textId="77777777" w:rsidR="00150B93" w:rsidRPr="00987A54" w:rsidRDefault="00150B93" w:rsidP="00D10F7D">
            <w:pPr>
              <w:rPr>
                <w:sz w:val="8"/>
                <w:szCs w:val="8"/>
                <w:lang w:val="en-AU"/>
              </w:rPr>
            </w:pPr>
          </w:p>
        </w:tc>
      </w:tr>
      <w:tr w:rsidR="00150B93" w14:paraId="0F5A3725" w14:textId="77777777" w:rsidTr="00D10F7D">
        <w:trPr>
          <w:jc w:val="center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8CCB913" w14:textId="77777777" w:rsidR="00150B93" w:rsidRDefault="00150B93" w:rsidP="00D10F7D">
            <w:pPr>
              <w:rPr>
                <w:lang w:val="en-AU"/>
              </w:rPr>
            </w:pPr>
            <w:r w:rsidRPr="00987A54">
              <w:rPr>
                <w:b/>
                <w:lang w:val="en-AU"/>
              </w:rPr>
              <w:t>Cross References With Other Rules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E4DDB3" w14:textId="77777777" w:rsidR="00150B93" w:rsidRDefault="00150B93" w:rsidP="00D10F7D">
            <w:pPr>
              <w:rPr>
                <w:lang w:val="en-A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71A0707" w14:textId="77777777" w:rsidR="00150B93" w:rsidRDefault="00150B93" w:rsidP="00D10F7D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8C59B4" w14:textId="77777777" w:rsidR="00150B93" w:rsidRDefault="00150B93" w:rsidP="00D10F7D">
            <w:pPr>
              <w:rPr>
                <w:lang w:val="en-AU"/>
              </w:rPr>
            </w:pPr>
          </w:p>
        </w:tc>
      </w:tr>
      <w:tr w:rsidR="00150B93" w14:paraId="63F68A01" w14:textId="77777777" w:rsidTr="00D10F7D">
        <w:trPr>
          <w:jc w:val="center"/>
        </w:trPr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</w:tcPr>
          <w:p w14:paraId="1302375F" w14:textId="77777777" w:rsidR="00150B93" w:rsidRDefault="00150B93" w:rsidP="00D10F7D">
            <w:pPr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130270" w14:textId="77777777" w:rsidR="00150B93" w:rsidRDefault="00150B93" w:rsidP="00D10F7D">
            <w:pPr>
              <w:rPr>
                <w:lang w:val="en-AU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0F51751B" w14:textId="77777777" w:rsidR="00150B93" w:rsidRDefault="00150B93" w:rsidP="00D10F7D">
            <w:pPr>
              <w:rPr>
                <w:lang w:val="en-A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064E4C" w14:textId="77777777" w:rsidR="00150B93" w:rsidRDefault="00150B93" w:rsidP="00D10F7D">
            <w:pPr>
              <w:rPr>
                <w:lang w:val="en-AU"/>
              </w:rPr>
            </w:pPr>
          </w:p>
        </w:tc>
      </w:tr>
      <w:tr w:rsidR="00150B93" w:rsidRPr="00987A54" w14:paraId="586F1AF1" w14:textId="77777777" w:rsidTr="00D10F7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944C0" w14:textId="77777777" w:rsidR="00150B93" w:rsidRPr="00987A54" w:rsidRDefault="00150B93" w:rsidP="00D10F7D">
            <w:pPr>
              <w:rPr>
                <w:sz w:val="8"/>
                <w:szCs w:val="8"/>
                <w:lang w:val="en-AU"/>
              </w:rPr>
            </w:pPr>
          </w:p>
        </w:tc>
      </w:tr>
      <w:tr w:rsidR="00150B93" w:rsidRPr="00486CED" w14:paraId="1EABF418" w14:textId="77777777" w:rsidTr="00D10F7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697B4C" w14:textId="77777777" w:rsidR="00150B93" w:rsidRPr="00486CED" w:rsidRDefault="00150B93" w:rsidP="00D10F7D">
            <w:pPr>
              <w:rPr>
                <w:b/>
                <w:lang w:val="en-AU"/>
              </w:rPr>
            </w:pPr>
            <w:r w:rsidRPr="00486CED">
              <w:rPr>
                <w:b/>
                <w:lang w:val="en-AU"/>
              </w:rPr>
              <w:t>Clearly explain the new rule/changes requested.</w:t>
            </w:r>
          </w:p>
        </w:tc>
      </w:tr>
      <w:tr w:rsidR="00150B93" w14:paraId="42CFE893" w14:textId="77777777" w:rsidTr="00D10F7D">
        <w:trPr>
          <w:jc w:val="center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45BFFC42" w14:textId="77777777" w:rsidR="00150B93" w:rsidRDefault="00150B93" w:rsidP="00D10F7D">
            <w:pPr>
              <w:rPr>
                <w:lang w:val="en-AU"/>
              </w:rPr>
            </w:pPr>
          </w:p>
          <w:p w14:paraId="713D4B03" w14:textId="77777777" w:rsidR="00150B93" w:rsidRDefault="00150B93" w:rsidP="00D10F7D">
            <w:pPr>
              <w:rPr>
                <w:lang w:val="en-AU"/>
              </w:rPr>
            </w:pPr>
          </w:p>
          <w:p w14:paraId="5773A687" w14:textId="77777777" w:rsidR="00150B93" w:rsidRDefault="00150B93" w:rsidP="00D10F7D">
            <w:pPr>
              <w:rPr>
                <w:lang w:val="en-AU"/>
              </w:rPr>
            </w:pPr>
          </w:p>
          <w:p w14:paraId="0AC86D60" w14:textId="77777777" w:rsidR="00150B93" w:rsidRDefault="00150B93" w:rsidP="00D10F7D">
            <w:pPr>
              <w:rPr>
                <w:lang w:val="en-AU"/>
              </w:rPr>
            </w:pPr>
          </w:p>
          <w:p w14:paraId="4618B7AB" w14:textId="77777777" w:rsidR="00150B93" w:rsidRDefault="00150B93" w:rsidP="00D10F7D">
            <w:pPr>
              <w:rPr>
                <w:lang w:val="en-AU"/>
              </w:rPr>
            </w:pPr>
          </w:p>
          <w:p w14:paraId="3D4AF303" w14:textId="77777777" w:rsidR="00150B93" w:rsidRDefault="00150B93" w:rsidP="00D10F7D">
            <w:pPr>
              <w:rPr>
                <w:lang w:val="en-AU"/>
              </w:rPr>
            </w:pPr>
          </w:p>
          <w:p w14:paraId="7F599666" w14:textId="77777777" w:rsidR="00150B93" w:rsidRDefault="00150B93" w:rsidP="00D10F7D">
            <w:pPr>
              <w:rPr>
                <w:lang w:val="en-AU"/>
              </w:rPr>
            </w:pPr>
          </w:p>
          <w:p w14:paraId="2AEBBEDE" w14:textId="77777777" w:rsidR="00150B93" w:rsidRDefault="00150B93" w:rsidP="00D10F7D">
            <w:pPr>
              <w:rPr>
                <w:lang w:val="en-AU"/>
              </w:rPr>
            </w:pPr>
          </w:p>
          <w:p w14:paraId="31060F36" w14:textId="77777777" w:rsidR="00150B93" w:rsidRDefault="00150B93" w:rsidP="00D10F7D">
            <w:pPr>
              <w:rPr>
                <w:lang w:val="en-AU"/>
              </w:rPr>
            </w:pPr>
          </w:p>
          <w:p w14:paraId="508245CF" w14:textId="77777777" w:rsidR="00150B93" w:rsidRDefault="00150B93" w:rsidP="00D10F7D">
            <w:pPr>
              <w:rPr>
                <w:lang w:val="en-AU"/>
              </w:rPr>
            </w:pPr>
          </w:p>
          <w:p w14:paraId="30BD0312" w14:textId="77777777" w:rsidR="00150B93" w:rsidRDefault="00150B93" w:rsidP="00D10F7D">
            <w:pPr>
              <w:rPr>
                <w:lang w:val="en-AU"/>
              </w:rPr>
            </w:pPr>
          </w:p>
          <w:p w14:paraId="5E2BA074" w14:textId="77777777" w:rsidR="00150B93" w:rsidRDefault="00150B93" w:rsidP="00D10F7D">
            <w:pPr>
              <w:rPr>
                <w:lang w:val="en-AU"/>
              </w:rPr>
            </w:pPr>
          </w:p>
          <w:p w14:paraId="78FDFC95" w14:textId="77777777" w:rsidR="00150B93" w:rsidRDefault="00150B93" w:rsidP="00D10F7D">
            <w:pPr>
              <w:rPr>
                <w:lang w:val="en-AU"/>
              </w:rPr>
            </w:pPr>
          </w:p>
        </w:tc>
      </w:tr>
      <w:tr w:rsidR="00150B93" w:rsidRPr="003300E0" w14:paraId="2E59D075" w14:textId="77777777" w:rsidTr="00D10F7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A2066" w14:textId="77777777" w:rsidR="00150B93" w:rsidRPr="003300E0" w:rsidRDefault="00150B93" w:rsidP="00D10F7D">
            <w:pPr>
              <w:rPr>
                <w:sz w:val="8"/>
                <w:szCs w:val="8"/>
                <w:lang w:val="en-AU"/>
              </w:rPr>
            </w:pPr>
          </w:p>
        </w:tc>
      </w:tr>
      <w:tr w:rsidR="00150B93" w:rsidRPr="00486CED" w14:paraId="58D581E2" w14:textId="77777777" w:rsidTr="00D10F7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9EE575" w14:textId="77777777" w:rsidR="00150B93" w:rsidRPr="00486CED" w:rsidRDefault="00150B93" w:rsidP="00D10F7D">
            <w:pPr>
              <w:rPr>
                <w:b/>
                <w:lang w:val="en-AU"/>
              </w:rPr>
            </w:pPr>
            <w:r w:rsidRPr="00486CED">
              <w:rPr>
                <w:b/>
                <w:lang w:val="en-AU"/>
              </w:rPr>
              <w:t>What is the new rule/rule change meant to achieve?</w:t>
            </w:r>
            <w:r>
              <w:rPr>
                <w:b/>
                <w:lang w:val="en-AU"/>
              </w:rPr>
              <w:t xml:space="preserve"> Why is this request being submitted?</w:t>
            </w:r>
          </w:p>
        </w:tc>
      </w:tr>
      <w:tr w:rsidR="00150B93" w14:paraId="54D951C9" w14:textId="77777777" w:rsidTr="00D10F7D">
        <w:trPr>
          <w:jc w:val="center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11E4A6C7" w14:textId="77777777" w:rsidR="00150B93" w:rsidRDefault="00150B93" w:rsidP="00D10F7D">
            <w:pPr>
              <w:rPr>
                <w:lang w:val="en-AU"/>
              </w:rPr>
            </w:pPr>
          </w:p>
          <w:p w14:paraId="0BDED472" w14:textId="77777777" w:rsidR="00150B93" w:rsidRDefault="00150B93" w:rsidP="00D10F7D">
            <w:pPr>
              <w:rPr>
                <w:lang w:val="en-AU"/>
              </w:rPr>
            </w:pPr>
          </w:p>
          <w:p w14:paraId="7E88DD12" w14:textId="77777777" w:rsidR="00150B93" w:rsidRDefault="00150B93" w:rsidP="00D10F7D">
            <w:pPr>
              <w:rPr>
                <w:lang w:val="en-AU"/>
              </w:rPr>
            </w:pPr>
          </w:p>
          <w:p w14:paraId="6395FC90" w14:textId="77777777" w:rsidR="00150B93" w:rsidRDefault="00150B93" w:rsidP="00D10F7D">
            <w:pPr>
              <w:rPr>
                <w:lang w:val="en-AU"/>
              </w:rPr>
            </w:pPr>
          </w:p>
          <w:p w14:paraId="0C07186D" w14:textId="77777777" w:rsidR="00150B93" w:rsidRDefault="00150B93" w:rsidP="00D10F7D">
            <w:pPr>
              <w:rPr>
                <w:lang w:val="en-AU"/>
              </w:rPr>
            </w:pPr>
          </w:p>
          <w:p w14:paraId="0740C799" w14:textId="77777777" w:rsidR="00150B93" w:rsidRDefault="00150B93" w:rsidP="00D10F7D">
            <w:pPr>
              <w:rPr>
                <w:lang w:val="en-AU"/>
              </w:rPr>
            </w:pPr>
          </w:p>
          <w:p w14:paraId="44F1A08A" w14:textId="77777777" w:rsidR="00150B93" w:rsidRDefault="00150B93" w:rsidP="00D10F7D">
            <w:pPr>
              <w:rPr>
                <w:lang w:val="en-AU"/>
              </w:rPr>
            </w:pPr>
          </w:p>
          <w:p w14:paraId="34B3B2DA" w14:textId="77777777" w:rsidR="00150B93" w:rsidRDefault="00150B93" w:rsidP="00D10F7D">
            <w:pPr>
              <w:rPr>
                <w:lang w:val="en-AU"/>
              </w:rPr>
            </w:pPr>
          </w:p>
          <w:p w14:paraId="6CE13075" w14:textId="77777777" w:rsidR="00150B93" w:rsidRDefault="00150B93" w:rsidP="00D10F7D">
            <w:pPr>
              <w:rPr>
                <w:lang w:val="en-AU"/>
              </w:rPr>
            </w:pPr>
          </w:p>
          <w:p w14:paraId="160CDB7D" w14:textId="77777777" w:rsidR="00150B93" w:rsidRDefault="00150B93" w:rsidP="00D10F7D">
            <w:pPr>
              <w:rPr>
                <w:lang w:val="en-AU"/>
              </w:rPr>
            </w:pPr>
          </w:p>
          <w:p w14:paraId="064CFBF1" w14:textId="77777777" w:rsidR="00150B93" w:rsidRDefault="00150B93" w:rsidP="00D10F7D">
            <w:pPr>
              <w:rPr>
                <w:lang w:val="en-AU"/>
              </w:rPr>
            </w:pPr>
          </w:p>
          <w:p w14:paraId="04A8A547" w14:textId="77777777" w:rsidR="00150B93" w:rsidRDefault="00150B93" w:rsidP="00D10F7D">
            <w:pPr>
              <w:rPr>
                <w:lang w:val="en-AU"/>
              </w:rPr>
            </w:pPr>
          </w:p>
        </w:tc>
      </w:tr>
      <w:tr w:rsidR="00150B93" w:rsidRPr="00FA4EA3" w14:paraId="5832C42A" w14:textId="77777777" w:rsidTr="00D10F7D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36051" w14:textId="77777777" w:rsidR="00150B93" w:rsidRPr="00FA4EA3" w:rsidRDefault="00150B93" w:rsidP="00D10F7D">
            <w:pPr>
              <w:rPr>
                <w:sz w:val="8"/>
                <w:szCs w:val="8"/>
                <w:lang w:val="en-AU"/>
              </w:rPr>
            </w:pPr>
          </w:p>
        </w:tc>
      </w:tr>
      <w:tr w:rsidR="00150B93" w14:paraId="16E77A9A" w14:textId="77777777" w:rsidTr="00D10F7D">
        <w:trPr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2E9C56B3" w14:textId="77777777" w:rsidR="00150B93" w:rsidRPr="00486CED" w:rsidRDefault="00150B93" w:rsidP="00D10F7D">
            <w:pPr>
              <w:rPr>
                <w:b/>
                <w:lang w:val="en-AU"/>
              </w:rPr>
            </w:pPr>
            <w:r w:rsidRPr="00486CED">
              <w:rPr>
                <w:b/>
                <w:lang w:val="en-AU"/>
              </w:rPr>
              <w:t>Are there any cost implication of this proposal?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3EB6E9E5" w14:textId="77777777" w:rsidR="00150B93" w:rsidRDefault="00150B93" w:rsidP="00D10F7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37BA01" w14:textId="77777777" w:rsidR="00150B93" w:rsidRDefault="00150B93" w:rsidP="00D10F7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</w:tr>
      <w:tr w:rsidR="00150B93" w14:paraId="14E106BF" w14:textId="77777777" w:rsidTr="00D10F7D">
        <w:trPr>
          <w:jc w:val="center"/>
        </w:trPr>
        <w:tc>
          <w:tcPr>
            <w:tcW w:w="3970" w:type="dxa"/>
            <w:gridSpan w:val="3"/>
          </w:tcPr>
          <w:p w14:paraId="49572F4D" w14:textId="77777777" w:rsidR="00150B93" w:rsidRPr="00486CED" w:rsidRDefault="00150B93" w:rsidP="00D10F7D">
            <w:pPr>
              <w:rPr>
                <w:b/>
                <w:lang w:val="en-AU"/>
              </w:rPr>
            </w:pPr>
            <w:r w:rsidRPr="00486CED">
              <w:rPr>
                <w:b/>
                <w:lang w:val="en-AU"/>
              </w:rPr>
              <w:t>If yes, what are they?</w:t>
            </w:r>
          </w:p>
        </w:tc>
        <w:tc>
          <w:tcPr>
            <w:tcW w:w="6095" w:type="dxa"/>
            <w:gridSpan w:val="5"/>
          </w:tcPr>
          <w:p w14:paraId="30BE7025" w14:textId="77777777" w:rsidR="00150B93" w:rsidRDefault="00150B93" w:rsidP="00D10F7D">
            <w:pPr>
              <w:rPr>
                <w:lang w:val="en-AU"/>
              </w:rPr>
            </w:pPr>
          </w:p>
        </w:tc>
      </w:tr>
    </w:tbl>
    <w:p w14:paraId="17CC95EC" w14:textId="77777777" w:rsidR="00150B93" w:rsidRDefault="00150B93" w:rsidP="00150B93">
      <w:pPr>
        <w:rPr>
          <w:lang w:val="en-AU"/>
        </w:rPr>
      </w:pPr>
      <w:r>
        <w:rPr>
          <w:rFonts w:cs="TheMix-B2ExtraLight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71551" wp14:editId="53899187">
                <wp:simplePos x="0" y="0"/>
                <wp:positionH relativeFrom="column">
                  <wp:posOffset>535305</wp:posOffset>
                </wp:positionH>
                <wp:positionV relativeFrom="paragraph">
                  <wp:posOffset>59055</wp:posOffset>
                </wp:positionV>
                <wp:extent cx="3765550" cy="4191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7A4B" id="Rectangle 4" o:spid="_x0000_s1026" style="position:absolute;margin-left:42.15pt;margin-top:4.65pt;width:296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VTfQIAABU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85&#10;M6TRoh8AjcxKSTZN8HQulPC6d3d+0ALEVOuu8Tr9UQXbZUj3L5DKXWQCm19PjmezGZAXsE3HZ+NR&#10;xrx4Pe18iN+k1SwJFffInpGk7XWIyAjXZ5eULFjV1stWqazsw6XybEvoLkhR244zRSFis+LL/KUS&#10;EOLNMWVYB7JOTnAZJgi0axRFiNoBiGBWnJFagc8i+nyXN6fDh6QPqPYg8Sh/f0ucCrmisO5vnKMm&#10;Nyp1GzEGqtUVPz08rUyyykzkAY7Uj74DSXqy9R4N9LZndnBi2SLJNUC4Iw8qo0KMZ7zF0iiLsu0g&#10;cba2/vff9pM/GAYrZx1GA5D82pCXKPG7AffOxtNpmqWsTGcnEyj+0PJ0aDEbfWnRnzEeAieymPyj&#10;ehYbb/UjpniRssJERiB3D/6gXMZ+ZPEOCLlYZDfMj6N4be6dSMETTgneh90jeTeQKaIxN/Z5jKh8&#10;x6neN500drGJtmkz4V5xBXWSgtnLJBreiTTch3r2en3N5n8AAAD//wMAUEsDBBQABgAIAAAAIQAQ&#10;5yhB3QAAAAcBAAAPAAAAZHJzL2Rvd25yZXYueG1sTI7NTsMwEITvSLyDtUjcqAOFpg1xKoSEhJA4&#10;NPyc3XiJo8brKHZS06dnOcFpdjSj2a/cJteLGcfQeVJwvchAIDXedNQqeH97ulqDCFGT0b0nVPCN&#10;AbbV+VmpC+OPtMO5jq3gEQqFVmBjHAopQ2PR6bDwAxJnX350OrIdW2lGfeRx18ubLFtJpzviD1YP&#10;+GixOdSTU/ASTtPcmPCabLLPm4/P7FTTQanLi/RwDyJiin9l+MVndKiYae8nMkH0Cta3S24q2LBw&#10;vMpzPvYK8rslyKqU//mrHwAAAP//AwBQSwECLQAUAAYACAAAACEAtoM4kv4AAADhAQAAEwAAAAAA&#10;AAAAAAAAAAAAAAAAW0NvbnRlbnRfVHlwZXNdLnhtbFBLAQItABQABgAIAAAAIQA4/SH/1gAAAJQB&#10;AAALAAAAAAAAAAAAAAAAAC8BAABfcmVscy8ucmVsc1BLAQItABQABgAIAAAAIQBWQjVTfQIAABUF&#10;AAAOAAAAAAAAAAAAAAAAAC4CAABkcnMvZTJvRG9jLnhtbFBLAQItABQABgAIAAAAIQAQ5yhB3QAA&#10;AAc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lang w:val="en-AU"/>
        </w:rPr>
        <w:t xml:space="preserve">Signed: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1EA02B9E" w14:textId="77777777" w:rsidR="00150B93" w:rsidRDefault="00150B93" w:rsidP="00150B93">
      <w:pPr>
        <w:rPr>
          <w:lang w:val="en-AU"/>
        </w:rPr>
      </w:pPr>
    </w:p>
    <w:p w14:paraId="7CF008A1" w14:textId="2779523E" w:rsidR="00E205D8" w:rsidRPr="00150B93" w:rsidRDefault="00150B93">
      <w:pPr>
        <w:rPr>
          <w:b/>
          <w:lang w:val="en-AU"/>
        </w:rPr>
      </w:pPr>
      <w:r w:rsidRPr="009953E7">
        <w:rPr>
          <w:b/>
          <w:lang w:val="en-AU"/>
        </w:rPr>
        <w:t>Forms submitted by State and Territory Association’s should be signed by the State President for that State or Territory.</w:t>
      </w:r>
    </w:p>
    <w:sectPr w:rsidR="00E205D8" w:rsidRPr="00150B93" w:rsidSect="00150B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CFE99" w14:textId="77777777" w:rsidR="00AB1012" w:rsidRDefault="00AB1012">
      <w:pPr>
        <w:spacing w:after="0" w:line="240" w:lineRule="auto"/>
      </w:pPr>
      <w:r>
        <w:separator/>
      </w:r>
    </w:p>
  </w:endnote>
  <w:endnote w:type="continuationSeparator" w:id="0">
    <w:p w14:paraId="580B9ACF" w14:textId="77777777" w:rsidR="00AB1012" w:rsidRDefault="00A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Mix-B2Ex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066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16"/>
      <w:gridCol w:w="3936"/>
    </w:tblGrid>
    <w:tr w:rsidR="009B762A" w14:paraId="74EABED8" w14:textId="77777777" w:rsidTr="00E6366A">
      <w:tc>
        <w:tcPr>
          <w:tcW w:w="2982" w:type="pct"/>
          <w:shd w:val="clear" w:color="auto" w:fill="006600"/>
          <w:vAlign w:val="center"/>
        </w:tcPr>
        <w:p w14:paraId="2A3D25A5" w14:textId="61E364C2" w:rsidR="009B762A" w:rsidRDefault="009B762A" w:rsidP="0097424E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karting australia 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95304895FD08460E92DB6CC99D566D1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20D5D">
                <w:rPr>
                  <w:caps/>
                  <w:color w:val="FFFFFF" w:themeColor="background1"/>
                  <w:sz w:val="18"/>
                  <w:szCs w:val="18"/>
                  <w:lang w:val="en-AU"/>
                </w:rPr>
                <w:t>rule change</w:t>
              </w:r>
              <w:r>
                <w:rPr>
                  <w:caps/>
                  <w:color w:val="FFFFFF" w:themeColor="background1"/>
                  <w:sz w:val="18"/>
                  <w:szCs w:val="18"/>
                  <w:lang w:val="en-AU"/>
                </w:rPr>
                <w:t xml:space="preserve"> POLICY</w:t>
              </w:r>
            </w:sdtContent>
          </w:sdt>
        </w:p>
      </w:tc>
      <w:tc>
        <w:tcPr>
          <w:tcW w:w="2018" w:type="pct"/>
          <w:shd w:val="clear" w:color="auto" w:fill="006600"/>
          <w:vAlign w:val="center"/>
        </w:tcPr>
        <w:p w14:paraId="06DA047C" w14:textId="77777777" w:rsidR="009B762A" w:rsidRDefault="009B762A" w:rsidP="000F696E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 w:rsidRPr="008E0C96"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 w:rsidRPr="008E0C96">
            <w:rPr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8E0C96"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 w:rsidR="00AB1012"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 w:rsidRPr="008E0C96">
            <w:rPr>
              <w:caps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6CA84E57" w14:textId="77777777" w:rsidR="009B762A" w:rsidRPr="00F25065" w:rsidRDefault="009B762A" w:rsidP="000F696E">
    <w:pPr>
      <w:pStyle w:val="Footer"/>
      <w:jc w:val="both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BDB0" w14:textId="77777777" w:rsidR="009B762A" w:rsidRPr="00F25065" w:rsidRDefault="009B762A">
    <w:pPr>
      <w:pStyle w:val="Footer"/>
      <w:jc w:val="right"/>
      <w:rPr>
        <w:rFonts w:ascii="Century Gothic" w:hAnsi="Century Gothic"/>
        <w:sz w:val="16"/>
        <w:szCs w:val="16"/>
      </w:rPr>
    </w:pPr>
    <w:r w:rsidRPr="00F25065">
      <w:rPr>
        <w:rFonts w:ascii="Century Gothic" w:hAnsi="Century Gothic"/>
        <w:sz w:val="16"/>
        <w:szCs w:val="16"/>
      </w:rPr>
      <w:t xml:space="preserve">Page </w:t>
    </w:r>
    <w:r w:rsidRPr="00F25065">
      <w:rPr>
        <w:rFonts w:ascii="Century Gothic" w:hAnsi="Century Gothic"/>
        <w:b/>
        <w:bCs/>
        <w:sz w:val="16"/>
        <w:szCs w:val="16"/>
      </w:rPr>
      <w:fldChar w:fldCharType="begin"/>
    </w:r>
    <w:r w:rsidRPr="00F25065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F25065">
      <w:rPr>
        <w:rFonts w:ascii="Century Gothic" w:hAnsi="Century Gothic"/>
        <w:b/>
        <w:bCs/>
        <w:sz w:val="16"/>
        <w:szCs w:val="16"/>
      </w:rPr>
      <w:fldChar w:fldCharType="separate"/>
    </w:r>
    <w:r>
      <w:rPr>
        <w:rFonts w:ascii="Century Gothic" w:hAnsi="Century Gothic"/>
        <w:b/>
        <w:bCs/>
        <w:noProof/>
        <w:sz w:val="16"/>
        <w:szCs w:val="16"/>
      </w:rPr>
      <w:t>1</w:t>
    </w:r>
    <w:r w:rsidRPr="00F25065">
      <w:rPr>
        <w:rFonts w:ascii="Century Gothic" w:hAnsi="Century Gothic"/>
        <w:b/>
        <w:bCs/>
        <w:sz w:val="16"/>
        <w:szCs w:val="16"/>
      </w:rPr>
      <w:fldChar w:fldCharType="end"/>
    </w:r>
    <w:r w:rsidRPr="00F25065">
      <w:rPr>
        <w:rFonts w:ascii="Century Gothic" w:hAnsi="Century Gothic"/>
        <w:sz w:val="16"/>
        <w:szCs w:val="16"/>
      </w:rPr>
      <w:t xml:space="preserve"> of </w:t>
    </w:r>
    <w:r w:rsidRPr="00F25065">
      <w:rPr>
        <w:rFonts w:ascii="Century Gothic" w:hAnsi="Century Gothic"/>
        <w:b/>
        <w:bCs/>
        <w:sz w:val="16"/>
        <w:szCs w:val="16"/>
      </w:rPr>
      <w:fldChar w:fldCharType="begin"/>
    </w:r>
    <w:r w:rsidRPr="00F25065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F25065">
      <w:rPr>
        <w:rFonts w:ascii="Century Gothic" w:hAnsi="Century Gothic"/>
        <w:b/>
        <w:bCs/>
        <w:sz w:val="16"/>
        <w:szCs w:val="16"/>
      </w:rPr>
      <w:fldChar w:fldCharType="separate"/>
    </w:r>
    <w:r w:rsidR="000A6D49">
      <w:rPr>
        <w:rFonts w:ascii="Century Gothic" w:hAnsi="Century Gothic"/>
        <w:b/>
        <w:bCs/>
        <w:noProof/>
        <w:sz w:val="16"/>
        <w:szCs w:val="16"/>
      </w:rPr>
      <w:t>3</w:t>
    </w:r>
    <w:r w:rsidRPr="00F25065">
      <w:rPr>
        <w:rFonts w:ascii="Century Gothic" w:hAnsi="Century Gothic"/>
        <w:b/>
        <w:bCs/>
        <w:sz w:val="16"/>
        <w:szCs w:val="16"/>
      </w:rPr>
      <w:fldChar w:fldCharType="end"/>
    </w:r>
  </w:p>
  <w:p w14:paraId="004C094B" w14:textId="77777777" w:rsidR="009B762A" w:rsidRPr="009C42EA" w:rsidRDefault="009B762A" w:rsidP="000F696E">
    <w:pPr>
      <w:pStyle w:val="Footer"/>
      <w:jc w:val="both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D9840" w14:textId="77777777" w:rsidR="00AB1012" w:rsidRDefault="00AB1012">
      <w:pPr>
        <w:spacing w:after="0" w:line="240" w:lineRule="auto"/>
      </w:pPr>
      <w:r>
        <w:separator/>
      </w:r>
    </w:p>
  </w:footnote>
  <w:footnote w:type="continuationSeparator" w:id="0">
    <w:p w14:paraId="349C14CC" w14:textId="77777777" w:rsidR="00AB1012" w:rsidRDefault="00A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CB464" w14:textId="77777777" w:rsidR="009B762A" w:rsidRDefault="009B762A" w:rsidP="00A133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04235B" wp14:editId="193FF6CB">
          <wp:extent cx="2833054" cy="582923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ting Australia -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733" cy="59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3074" w14:textId="77777777" w:rsidR="009B762A" w:rsidRPr="009D0D7D" w:rsidRDefault="00AB1012">
    <w:pPr>
      <w:pStyle w:val="Header"/>
      <w:rPr>
        <w:rFonts w:ascii="Century Gothic" w:hAnsi="Century Gothic"/>
        <w:sz w:val="32"/>
        <w:szCs w:val="32"/>
      </w:rPr>
    </w:pPr>
    <w:sdt>
      <w:sdtPr>
        <w:rPr>
          <w:rFonts w:ascii="Century Gothic" w:hAnsi="Century Gothic"/>
          <w:noProof/>
          <w:sz w:val="32"/>
          <w:szCs w:val="32"/>
        </w:rPr>
        <w:id w:val="556518846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sz w:val="32"/>
            <w:szCs w:val="32"/>
            <w:lang w:val="en-US"/>
          </w:rPr>
          <w:pict w14:anchorId="130804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762A" w:rsidRPr="009D0D7D">
      <w:rPr>
        <w:rFonts w:ascii="Century Gothic" w:hAnsi="Century Gothic"/>
        <w:noProof/>
        <w:sz w:val="32"/>
        <w:szCs w:val="32"/>
      </w:rPr>
      <w:t>Australian Karting Association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622"/>
    <w:multiLevelType w:val="hybridMultilevel"/>
    <w:tmpl w:val="FCAA916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FC7D04"/>
    <w:multiLevelType w:val="hybridMultilevel"/>
    <w:tmpl w:val="7B6C48D8"/>
    <w:lvl w:ilvl="0" w:tplc="F7F2A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610F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C696501"/>
    <w:multiLevelType w:val="hybridMultilevel"/>
    <w:tmpl w:val="B1408810"/>
    <w:lvl w:ilvl="0" w:tplc="9B80064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A51CB"/>
    <w:multiLevelType w:val="hybridMultilevel"/>
    <w:tmpl w:val="B1408810"/>
    <w:lvl w:ilvl="0" w:tplc="9B80064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035B2"/>
    <w:multiLevelType w:val="hybridMultilevel"/>
    <w:tmpl w:val="3C669C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9C4810"/>
    <w:multiLevelType w:val="hybridMultilevel"/>
    <w:tmpl w:val="DCB6E926"/>
    <w:lvl w:ilvl="0" w:tplc="C6402620">
      <w:start w:val="1"/>
      <w:numFmt w:val="lowerLetter"/>
      <w:lvlText w:val="(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5A890CEF"/>
    <w:multiLevelType w:val="hybridMultilevel"/>
    <w:tmpl w:val="B1408810"/>
    <w:lvl w:ilvl="0" w:tplc="9B80064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71529"/>
    <w:multiLevelType w:val="hybridMultilevel"/>
    <w:tmpl w:val="F1B202AE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25F2B"/>
    <w:multiLevelType w:val="multilevel"/>
    <w:tmpl w:val="55D2F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6AD7771C"/>
    <w:multiLevelType w:val="hybridMultilevel"/>
    <w:tmpl w:val="57DA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4772"/>
    <w:multiLevelType w:val="hybridMultilevel"/>
    <w:tmpl w:val="4FE2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9D6"/>
    <w:multiLevelType w:val="multilevel"/>
    <w:tmpl w:val="5AA2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75C4C22"/>
    <w:multiLevelType w:val="multilevel"/>
    <w:tmpl w:val="402C5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85E7DB2"/>
    <w:multiLevelType w:val="hybridMultilevel"/>
    <w:tmpl w:val="F86878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C3"/>
    <w:rsid w:val="00085702"/>
    <w:rsid w:val="00094AD7"/>
    <w:rsid w:val="0009765D"/>
    <w:rsid w:val="000A6D49"/>
    <w:rsid w:val="000D1355"/>
    <w:rsid w:val="000F696E"/>
    <w:rsid w:val="0010550C"/>
    <w:rsid w:val="0014217C"/>
    <w:rsid w:val="00150B93"/>
    <w:rsid w:val="001B4DBD"/>
    <w:rsid w:val="0022153A"/>
    <w:rsid w:val="00231CEC"/>
    <w:rsid w:val="00247FEB"/>
    <w:rsid w:val="00261454"/>
    <w:rsid w:val="002F2288"/>
    <w:rsid w:val="003556AC"/>
    <w:rsid w:val="00362547"/>
    <w:rsid w:val="0036675F"/>
    <w:rsid w:val="00414645"/>
    <w:rsid w:val="00422A2B"/>
    <w:rsid w:val="004A245B"/>
    <w:rsid w:val="004F347F"/>
    <w:rsid w:val="005C0281"/>
    <w:rsid w:val="00760EC0"/>
    <w:rsid w:val="007B03C3"/>
    <w:rsid w:val="008E0C96"/>
    <w:rsid w:val="00900012"/>
    <w:rsid w:val="00930FBB"/>
    <w:rsid w:val="00935066"/>
    <w:rsid w:val="0097424E"/>
    <w:rsid w:val="009B762A"/>
    <w:rsid w:val="00A133DB"/>
    <w:rsid w:val="00A20D5D"/>
    <w:rsid w:val="00AB1012"/>
    <w:rsid w:val="00B10E9C"/>
    <w:rsid w:val="00B87134"/>
    <w:rsid w:val="00B92D0D"/>
    <w:rsid w:val="00BD77C3"/>
    <w:rsid w:val="00BD793B"/>
    <w:rsid w:val="00C466BB"/>
    <w:rsid w:val="00CF033C"/>
    <w:rsid w:val="00D271AA"/>
    <w:rsid w:val="00D51067"/>
    <w:rsid w:val="00E205D8"/>
    <w:rsid w:val="00E2377E"/>
    <w:rsid w:val="00E6366A"/>
    <w:rsid w:val="00EA07D2"/>
    <w:rsid w:val="00EE24EE"/>
    <w:rsid w:val="00F078A7"/>
    <w:rsid w:val="00F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FA8A34"/>
  <w15:docId w15:val="{78BACE54-4F16-45AD-881A-AAE62922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03C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BFBF"/>
      <w:spacing w:val="94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BB"/>
  </w:style>
  <w:style w:type="paragraph" w:styleId="Footer">
    <w:name w:val="footer"/>
    <w:basedOn w:val="Normal"/>
    <w:link w:val="FooterChar"/>
    <w:uiPriority w:val="99"/>
    <w:unhideWhenUsed/>
    <w:rsid w:val="0093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BB"/>
  </w:style>
  <w:style w:type="paragraph" w:styleId="BalloonText">
    <w:name w:val="Balloon Text"/>
    <w:basedOn w:val="Normal"/>
    <w:link w:val="BalloonTextChar"/>
    <w:uiPriority w:val="99"/>
    <w:semiHidden/>
    <w:unhideWhenUsed/>
    <w:rsid w:val="0093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03C3"/>
    <w:rPr>
      <w:rFonts w:ascii="Verdana" w:eastAsia="Times New Roman" w:hAnsi="Verdana" w:cs="Times New Roman"/>
      <w:b/>
      <w:bCs/>
      <w:color w:val="FFBFBF"/>
      <w:spacing w:val="94"/>
      <w:sz w:val="48"/>
      <w:szCs w:val="24"/>
    </w:rPr>
  </w:style>
  <w:style w:type="paragraph" w:styleId="TOC1">
    <w:name w:val="toc 1"/>
    <w:basedOn w:val="Normal"/>
    <w:next w:val="Normal"/>
    <w:autoRedefine/>
    <w:uiPriority w:val="39"/>
    <w:rsid w:val="007B03C3"/>
    <w:pPr>
      <w:tabs>
        <w:tab w:val="right" w:leader="dot" w:pos="8296"/>
      </w:tabs>
      <w:spacing w:after="0" w:line="240" w:lineRule="auto"/>
    </w:pPr>
    <w:rPr>
      <w:rFonts w:ascii="Arial" w:eastAsia="Times New Roman" w:hAnsi="Arial" w:cs="Arial"/>
      <w:noProof/>
      <w:color w:val="3366FF"/>
      <w:sz w:val="18"/>
      <w:szCs w:val="48"/>
      <w:lang w:val="en-AU"/>
    </w:rPr>
  </w:style>
  <w:style w:type="character" w:styleId="Hyperlink">
    <w:name w:val="Hyperlink"/>
    <w:basedOn w:val="DefaultParagraphFont"/>
    <w:uiPriority w:val="99"/>
    <w:rsid w:val="007B03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B03C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03C3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E24E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E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E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3D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078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vin\Documents\Custom%20Office%20Templates\AKA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304895FD08460E92DB6CC99D56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6A20-D15A-4615-9771-36C268D47647}"/>
      </w:docPartPr>
      <w:docPartBody>
        <w:p w:rsidR="003243FC" w:rsidRDefault="00F0302D" w:rsidP="00F0302D">
          <w:pPr>
            <w:pStyle w:val="95304895FD08460E92DB6CC99D566D1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Mix-B2Ex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D"/>
    <w:rsid w:val="003243FC"/>
    <w:rsid w:val="003E1927"/>
    <w:rsid w:val="008543EC"/>
    <w:rsid w:val="008A488D"/>
    <w:rsid w:val="00B642D4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04895FD08460E92DB6CC99D566D1F">
    <w:name w:val="95304895FD08460E92DB6CC99D566D1F"/>
    <w:rsid w:val="00F0302D"/>
  </w:style>
  <w:style w:type="paragraph" w:customStyle="1" w:styleId="C5334E99B0574C7D90FC1B3AFCEFC260">
    <w:name w:val="C5334E99B0574C7D90FC1B3AFCEFC260"/>
    <w:rsid w:val="00F03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AKA Policy Template.dotx</Template>
  <TotalTime>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rule change POLICY</vt:lpstr>
      <vt:lpstr>RULE CHANGE Policy</vt:lpstr>
      <vt:lpstr>    </vt:lpstr>
      <vt:lpstr>    Introduction </vt:lpstr>
      <vt:lpstr>    Applications should be submitted by no later than 30 May each year. </vt:lpstr>
      <vt:lpstr>    Definitions</vt:lpstr>
      <vt:lpstr>    </vt:lpstr>
      <vt:lpstr>    Policy</vt:lpstr>
      <vt:lpstr>Related Policies</vt:lpstr>
      <vt:lpstr>Other Links and References</vt:lpstr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change POLICY</dc:title>
  <dc:subject/>
  <dc:creator>Kelvin O'Reilly</dc:creator>
  <cp:keywords/>
  <dc:description/>
  <cp:lastModifiedBy>Kelvin O'Reilly</cp:lastModifiedBy>
  <cp:revision>3</cp:revision>
  <cp:lastPrinted>2017-04-05T07:00:00Z</cp:lastPrinted>
  <dcterms:created xsi:type="dcterms:W3CDTF">2017-04-05T06:59:00Z</dcterms:created>
  <dcterms:modified xsi:type="dcterms:W3CDTF">2017-04-05T07:00:00Z</dcterms:modified>
</cp:coreProperties>
</file>